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2AD" w:rsidRPr="000422AD" w:rsidRDefault="000422AD" w:rsidP="000422AD">
      <w:pPr>
        <w:autoSpaceDE w:val="0"/>
        <w:autoSpaceDN w:val="0"/>
        <w:adjustRightInd w:val="0"/>
        <w:rPr>
          <w:rFonts w:ascii="Calibri" w:hAnsi="Calibri" w:cs="Calibri"/>
          <w:color w:val="000000"/>
          <w:sz w:val="24"/>
          <w:szCs w:val="24"/>
        </w:rPr>
      </w:pPr>
    </w:p>
    <w:p w:rsidR="000422AD" w:rsidRPr="000422AD" w:rsidRDefault="000422AD" w:rsidP="000422AD">
      <w:pPr>
        <w:autoSpaceDE w:val="0"/>
        <w:autoSpaceDN w:val="0"/>
        <w:adjustRightInd w:val="0"/>
        <w:rPr>
          <w:rFonts w:ascii="Calibri" w:hAnsi="Calibri" w:cs="Calibri"/>
          <w:color w:val="000000"/>
          <w:sz w:val="28"/>
          <w:szCs w:val="28"/>
        </w:rPr>
      </w:pPr>
      <w:r w:rsidRPr="000422AD">
        <w:rPr>
          <w:rFonts w:ascii="Calibri" w:hAnsi="Calibri" w:cs="Calibri"/>
          <w:color w:val="000000"/>
          <w:sz w:val="24"/>
          <w:szCs w:val="24"/>
        </w:rPr>
        <w:t xml:space="preserve"> </w:t>
      </w:r>
      <w:r w:rsidRPr="000422AD">
        <w:rPr>
          <w:rFonts w:ascii="Calibri" w:hAnsi="Calibri" w:cs="Calibri"/>
          <w:b/>
          <w:bCs/>
          <w:i/>
          <w:iCs/>
          <w:color w:val="000000"/>
          <w:sz w:val="28"/>
          <w:szCs w:val="28"/>
        </w:rPr>
        <w:t xml:space="preserve">Who pays the surcharge? </w:t>
      </w:r>
    </w:p>
    <w:p w:rsidR="000422AD" w:rsidRDefault="000422AD" w:rsidP="000422AD">
      <w:pPr>
        <w:autoSpaceDE w:val="0"/>
        <w:autoSpaceDN w:val="0"/>
        <w:adjustRightInd w:val="0"/>
        <w:rPr>
          <w:rFonts w:ascii="Calibri" w:hAnsi="Calibri" w:cs="Calibri"/>
          <w:color w:val="000000"/>
          <w:sz w:val="20"/>
          <w:szCs w:val="20"/>
        </w:rPr>
      </w:pPr>
      <w:r w:rsidRPr="000422AD">
        <w:rPr>
          <w:rFonts w:ascii="Calibri" w:hAnsi="Calibri" w:cs="Calibri"/>
          <w:color w:val="000000"/>
          <w:sz w:val="20"/>
          <w:szCs w:val="20"/>
        </w:rPr>
        <w:t xml:space="preserve">The Community Preservation Act Surcharge (CPA) is paid by real property owners. </w:t>
      </w:r>
    </w:p>
    <w:p w:rsidR="000422AD" w:rsidRPr="000422AD" w:rsidRDefault="000422AD" w:rsidP="000422AD">
      <w:pPr>
        <w:autoSpaceDE w:val="0"/>
        <w:autoSpaceDN w:val="0"/>
        <w:adjustRightInd w:val="0"/>
        <w:rPr>
          <w:rFonts w:ascii="Calibri" w:hAnsi="Calibri" w:cs="Calibri"/>
          <w:color w:val="000000"/>
          <w:sz w:val="20"/>
          <w:szCs w:val="20"/>
        </w:rPr>
      </w:pPr>
    </w:p>
    <w:p w:rsidR="000422AD" w:rsidRPr="000422AD" w:rsidRDefault="000422AD" w:rsidP="000422AD">
      <w:pPr>
        <w:autoSpaceDE w:val="0"/>
        <w:autoSpaceDN w:val="0"/>
        <w:adjustRightInd w:val="0"/>
        <w:rPr>
          <w:rFonts w:ascii="Calibri" w:hAnsi="Calibri" w:cs="Calibri"/>
          <w:color w:val="000000"/>
          <w:sz w:val="28"/>
          <w:szCs w:val="28"/>
        </w:rPr>
      </w:pPr>
      <w:r w:rsidRPr="000422AD">
        <w:rPr>
          <w:rFonts w:ascii="Calibri" w:hAnsi="Calibri" w:cs="Calibri"/>
          <w:b/>
          <w:bCs/>
          <w:i/>
          <w:iCs/>
          <w:color w:val="000000"/>
          <w:sz w:val="28"/>
          <w:szCs w:val="28"/>
        </w:rPr>
        <w:t xml:space="preserve">How is the surcharge calculated? </w:t>
      </w:r>
    </w:p>
    <w:p w:rsidR="00A86B2C" w:rsidRDefault="000422AD">
      <w:r w:rsidRPr="000422AD">
        <w:t>The 1% surcharge is calculated as follows (using the average Boxborough single-family assessment, and the FY2015 tax rate):</w:t>
      </w:r>
    </w:p>
    <w:p w:rsidR="000422AD" w:rsidRPr="000422AD" w:rsidRDefault="000422AD" w:rsidP="000422AD">
      <w:pPr>
        <w:autoSpaceDE w:val="0"/>
        <w:autoSpaceDN w:val="0"/>
        <w:adjustRightInd w:val="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364"/>
      </w:tblGrid>
      <w:tr w:rsidR="000422AD" w:rsidRPr="000422AD" w:rsidTr="000422AD">
        <w:tblPrEx>
          <w:tblCellMar>
            <w:top w:w="0" w:type="dxa"/>
            <w:bottom w:w="0" w:type="dxa"/>
          </w:tblCellMar>
        </w:tblPrEx>
        <w:trPr>
          <w:trHeight w:val="110"/>
        </w:trPr>
        <w:tc>
          <w:tcPr>
            <w:tcW w:w="2178" w:type="dxa"/>
          </w:tcPr>
          <w:p w:rsidR="000422AD" w:rsidRPr="000422AD" w:rsidRDefault="000422AD" w:rsidP="000422AD">
            <w:pPr>
              <w:autoSpaceDE w:val="0"/>
              <w:autoSpaceDN w:val="0"/>
              <w:adjustRightInd w:val="0"/>
              <w:rPr>
                <w:rFonts w:ascii="Calibri" w:hAnsi="Calibri" w:cs="Calibri"/>
                <w:color w:val="000000"/>
              </w:rPr>
            </w:pPr>
            <w:r>
              <w:rPr>
                <w:rFonts w:ascii="Calibri" w:hAnsi="Calibri" w:cs="Calibri"/>
                <w:i/>
                <w:iCs/>
                <w:color w:val="000000"/>
              </w:rPr>
              <w:t xml:space="preserve">FY 2015 </w:t>
            </w:r>
            <w:r w:rsidRPr="000422AD">
              <w:rPr>
                <w:rFonts w:ascii="Calibri" w:hAnsi="Calibri" w:cs="Calibri"/>
                <w:i/>
                <w:iCs/>
                <w:color w:val="000000"/>
              </w:rPr>
              <w:t>Assessment</w:t>
            </w:r>
          </w:p>
        </w:tc>
        <w:tc>
          <w:tcPr>
            <w:tcW w:w="1364" w:type="dxa"/>
          </w:tcPr>
          <w:p w:rsidR="000422AD" w:rsidRPr="000422AD" w:rsidRDefault="000422AD" w:rsidP="000422AD">
            <w:pPr>
              <w:autoSpaceDE w:val="0"/>
              <w:autoSpaceDN w:val="0"/>
              <w:adjustRightInd w:val="0"/>
              <w:rPr>
                <w:rFonts w:ascii="Calibri" w:hAnsi="Calibri" w:cs="Calibri"/>
                <w:color w:val="000000"/>
              </w:rPr>
            </w:pPr>
            <w:r w:rsidRPr="000422AD">
              <w:rPr>
                <w:rFonts w:ascii="Calibri" w:hAnsi="Calibri" w:cs="Calibri"/>
                <w:color w:val="000000"/>
              </w:rPr>
              <w:t xml:space="preserve">$531,400 </w:t>
            </w:r>
          </w:p>
        </w:tc>
      </w:tr>
      <w:tr w:rsidR="000422AD" w:rsidRPr="000422AD" w:rsidTr="000422AD">
        <w:tblPrEx>
          <w:tblCellMar>
            <w:top w:w="0" w:type="dxa"/>
            <w:bottom w:w="0" w:type="dxa"/>
          </w:tblCellMar>
        </w:tblPrEx>
        <w:trPr>
          <w:trHeight w:val="110"/>
        </w:trPr>
        <w:tc>
          <w:tcPr>
            <w:tcW w:w="2178" w:type="dxa"/>
          </w:tcPr>
          <w:p w:rsidR="000422AD" w:rsidRPr="000422AD" w:rsidRDefault="000422AD" w:rsidP="000422AD">
            <w:pPr>
              <w:autoSpaceDE w:val="0"/>
              <w:autoSpaceDN w:val="0"/>
              <w:adjustRightInd w:val="0"/>
              <w:rPr>
                <w:rFonts w:ascii="Calibri" w:hAnsi="Calibri" w:cs="Calibri"/>
                <w:color w:val="000000"/>
              </w:rPr>
            </w:pPr>
            <w:r w:rsidRPr="000422AD">
              <w:rPr>
                <w:rFonts w:ascii="Calibri" w:hAnsi="Calibri" w:cs="Calibri"/>
                <w:i/>
                <w:iCs/>
                <w:color w:val="000000"/>
              </w:rPr>
              <w:t xml:space="preserve">FY 2015 Tax Rate </w:t>
            </w:r>
          </w:p>
        </w:tc>
        <w:tc>
          <w:tcPr>
            <w:tcW w:w="1364" w:type="dxa"/>
          </w:tcPr>
          <w:p w:rsidR="000422AD" w:rsidRPr="000422AD" w:rsidRDefault="000422AD" w:rsidP="000422AD">
            <w:pPr>
              <w:autoSpaceDE w:val="0"/>
              <w:autoSpaceDN w:val="0"/>
              <w:adjustRightInd w:val="0"/>
              <w:rPr>
                <w:rFonts w:ascii="Calibri" w:hAnsi="Calibri" w:cs="Calibri"/>
                <w:color w:val="000000"/>
              </w:rPr>
            </w:pPr>
            <w:r w:rsidRPr="000422AD">
              <w:rPr>
                <w:rFonts w:ascii="Calibri" w:hAnsi="Calibri" w:cs="Calibri"/>
                <w:color w:val="000000"/>
              </w:rPr>
              <w:t xml:space="preserve">$16.64 </w:t>
            </w:r>
          </w:p>
        </w:tc>
      </w:tr>
      <w:tr w:rsidR="000422AD" w:rsidRPr="000422AD" w:rsidTr="000422AD">
        <w:tblPrEx>
          <w:tblCellMar>
            <w:top w:w="0" w:type="dxa"/>
            <w:bottom w:w="0" w:type="dxa"/>
          </w:tblCellMar>
        </w:tblPrEx>
        <w:trPr>
          <w:trHeight w:val="110"/>
        </w:trPr>
        <w:tc>
          <w:tcPr>
            <w:tcW w:w="2178" w:type="dxa"/>
          </w:tcPr>
          <w:p w:rsidR="000422AD" w:rsidRPr="000422AD" w:rsidRDefault="000422AD" w:rsidP="000422AD">
            <w:pPr>
              <w:autoSpaceDE w:val="0"/>
              <w:autoSpaceDN w:val="0"/>
              <w:adjustRightInd w:val="0"/>
              <w:rPr>
                <w:rFonts w:ascii="Calibri" w:hAnsi="Calibri" w:cs="Calibri"/>
                <w:color w:val="000000"/>
              </w:rPr>
            </w:pPr>
            <w:r w:rsidRPr="000422AD">
              <w:rPr>
                <w:rFonts w:ascii="Calibri" w:hAnsi="Calibri" w:cs="Calibri"/>
                <w:i/>
                <w:iCs/>
                <w:color w:val="000000"/>
              </w:rPr>
              <w:t xml:space="preserve">FY 2015 Tax </w:t>
            </w:r>
          </w:p>
        </w:tc>
        <w:tc>
          <w:tcPr>
            <w:tcW w:w="1364" w:type="dxa"/>
          </w:tcPr>
          <w:p w:rsidR="000422AD" w:rsidRPr="000422AD" w:rsidRDefault="000422AD" w:rsidP="000422AD">
            <w:pPr>
              <w:autoSpaceDE w:val="0"/>
              <w:autoSpaceDN w:val="0"/>
              <w:adjustRightInd w:val="0"/>
              <w:rPr>
                <w:rFonts w:ascii="Calibri" w:hAnsi="Calibri" w:cs="Calibri"/>
                <w:color w:val="000000"/>
              </w:rPr>
            </w:pPr>
            <w:r w:rsidRPr="000422AD">
              <w:rPr>
                <w:rFonts w:ascii="Calibri" w:hAnsi="Calibri" w:cs="Calibri"/>
                <w:color w:val="000000"/>
              </w:rPr>
              <w:t xml:space="preserve">$8,842.50 </w:t>
            </w:r>
          </w:p>
        </w:tc>
      </w:tr>
      <w:tr w:rsidR="000422AD" w:rsidRPr="000422AD" w:rsidTr="000422AD">
        <w:tblPrEx>
          <w:tblCellMar>
            <w:top w:w="0" w:type="dxa"/>
            <w:bottom w:w="0" w:type="dxa"/>
          </w:tblCellMar>
        </w:tblPrEx>
        <w:trPr>
          <w:trHeight w:val="110"/>
        </w:trPr>
        <w:tc>
          <w:tcPr>
            <w:tcW w:w="2178" w:type="dxa"/>
          </w:tcPr>
          <w:p w:rsidR="000422AD" w:rsidRPr="000422AD" w:rsidRDefault="000422AD" w:rsidP="000422AD">
            <w:pPr>
              <w:autoSpaceDE w:val="0"/>
              <w:autoSpaceDN w:val="0"/>
              <w:adjustRightInd w:val="0"/>
              <w:rPr>
                <w:rFonts w:ascii="Calibri" w:hAnsi="Calibri" w:cs="Calibri"/>
                <w:color w:val="000000"/>
              </w:rPr>
            </w:pPr>
            <w:r w:rsidRPr="000422AD">
              <w:rPr>
                <w:rFonts w:ascii="Calibri" w:hAnsi="Calibri" w:cs="Calibri"/>
                <w:i/>
                <w:iCs/>
                <w:color w:val="000000"/>
              </w:rPr>
              <w:t xml:space="preserve">CPA Surcharge of 1% </w:t>
            </w:r>
          </w:p>
        </w:tc>
        <w:tc>
          <w:tcPr>
            <w:tcW w:w="1364" w:type="dxa"/>
          </w:tcPr>
          <w:p w:rsidR="000422AD" w:rsidRPr="000422AD" w:rsidRDefault="000422AD" w:rsidP="000422AD">
            <w:pPr>
              <w:autoSpaceDE w:val="0"/>
              <w:autoSpaceDN w:val="0"/>
              <w:adjustRightInd w:val="0"/>
              <w:rPr>
                <w:rFonts w:ascii="Calibri" w:hAnsi="Calibri" w:cs="Calibri"/>
                <w:color w:val="000000"/>
              </w:rPr>
            </w:pPr>
            <w:r w:rsidRPr="000422AD">
              <w:rPr>
                <w:rFonts w:ascii="Calibri" w:hAnsi="Calibri" w:cs="Calibri"/>
                <w:color w:val="000000"/>
              </w:rPr>
              <w:t xml:space="preserve">$88.43 </w:t>
            </w:r>
          </w:p>
        </w:tc>
      </w:tr>
      <w:tr w:rsidR="000422AD" w:rsidRPr="000422AD" w:rsidTr="000422AD">
        <w:tblPrEx>
          <w:tblCellMar>
            <w:top w:w="0" w:type="dxa"/>
            <w:bottom w:w="0" w:type="dxa"/>
          </w:tblCellMar>
        </w:tblPrEx>
        <w:trPr>
          <w:trHeight w:val="110"/>
        </w:trPr>
        <w:tc>
          <w:tcPr>
            <w:tcW w:w="2178" w:type="dxa"/>
          </w:tcPr>
          <w:p w:rsidR="000422AD" w:rsidRPr="000422AD" w:rsidRDefault="000422AD" w:rsidP="000422AD">
            <w:pPr>
              <w:autoSpaceDE w:val="0"/>
              <w:autoSpaceDN w:val="0"/>
              <w:adjustRightInd w:val="0"/>
              <w:rPr>
                <w:rFonts w:ascii="Calibri" w:hAnsi="Calibri" w:cs="Calibri"/>
                <w:color w:val="000000"/>
              </w:rPr>
            </w:pPr>
            <w:r w:rsidRPr="000422AD">
              <w:rPr>
                <w:rFonts w:ascii="Calibri" w:hAnsi="Calibri" w:cs="Calibri"/>
                <w:b/>
                <w:bCs/>
                <w:color w:val="000000"/>
              </w:rPr>
              <w:t xml:space="preserve">TOTAL ANNUAL BILL </w:t>
            </w:r>
          </w:p>
        </w:tc>
        <w:tc>
          <w:tcPr>
            <w:tcW w:w="1364" w:type="dxa"/>
          </w:tcPr>
          <w:p w:rsidR="000422AD" w:rsidRPr="000422AD" w:rsidRDefault="000422AD" w:rsidP="000422AD">
            <w:pPr>
              <w:autoSpaceDE w:val="0"/>
              <w:autoSpaceDN w:val="0"/>
              <w:adjustRightInd w:val="0"/>
              <w:rPr>
                <w:rFonts w:ascii="Calibri" w:hAnsi="Calibri" w:cs="Calibri"/>
                <w:color w:val="000000"/>
              </w:rPr>
            </w:pPr>
            <w:r w:rsidRPr="000422AD">
              <w:rPr>
                <w:rFonts w:ascii="Calibri" w:hAnsi="Calibri" w:cs="Calibri"/>
                <w:color w:val="000000"/>
              </w:rPr>
              <w:t xml:space="preserve">$8,930.93 </w:t>
            </w:r>
          </w:p>
        </w:tc>
      </w:tr>
    </w:tbl>
    <w:p w:rsidR="000422AD" w:rsidRDefault="000422AD"/>
    <w:p w:rsidR="000422AD" w:rsidRDefault="000422AD">
      <w:r w:rsidRPr="000422AD">
        <w:t>The annual tax rate is $16.64 per $1,000 of the property assessment. The surcharge is 1% of the tax amount, which is then added to the tax amount to reach the TOTAL ANNUAL BILL.</w:t>
      </w:r>
    </w:p>
    <w:p w:rsidR="000422AD" w:rsidRDefault="000422AD"/>
    <w:p w:rsidR="000422AD" w:rsidRDefault="000422AD">
      <w:r w:rsidRPr="000422AD">
        <w:t>For FY 2015, the surcharge will be split into two payments: one half will be included in the third quarter tax bill (due Febru</w:t>
      </w:r>
      <w:bookmarkStart w:id="0" w:name="_GoBack"/>
      <w:bookmarkEnd w:id="0"/>
      <w:r w:rsidRPr="000422AD">
        <w:t>ary 2, 2015), and the second half will be included in the fourth quarter tax bill (due May 1, 2015). For subsequent years, the surcharge will be split over the four quarterly bills.</w:t>
      </w:r>
    </w:p>
    <w:p w:rsidR="000422AD" w:rsidRDefault="000422AD"/>
    <w:p w:rsidR="000422AD" w:rsidRPr="000422AD" w:rsidRDefault="000422AD">
      <w:pPr>
        <w:rPr>
          <w:b/>
          <w:i/>
          <w:sz w:val="28"/>
        </w:rPr>
      </w:pPr>
      <w:r w:rsidRPr="000422AD">
        <w:rPr>
          <w:b/>
          <w:i/>
          <w:sz w:val="28"/>
        </w:rPr>
        <w:t>Are there exemptions to the surcharge?</w:t>
      </w:r>
    </w:p>
    <w:p w:rsidR="000422AD" w:rsidRPr="000422AD" w:rsidRDefault="000422AD" w:rsidP="000422AD">
      <w:pPr>
        <w:pStyle w:val="ListParagraph"/>
        <w:numPr>
          <w:ilvl w:val="0"/>
          <w:numId w:val="1"/>
        </w:numPr>
      </w:pPr>
      <w:r w:rsidRPr="000422AD">
        <w:t>An application-based full CPA exemption is available to moderate-income seniors and low-income residents, as explained below.</w:t>
      </w:r>
    </w:p>
    <w:p w:rsidR="000422AD" w:rsidRDefault="000422AD" w:rsidP="000422AD">
      <w:pPr>
        <w:autoSpaceDE w:val="0"/>
        <w:autoSpaceDN w:val="0"/>
        <w:adjustRightInd w:val="0"/>
        <w:ind w:firstLine="60"/>
        <w:rPr>
          <w:rFonts w:ascii="Calibri" w:hAnsi="Calibri" w:cs="Calibri"/>
          <w:color w:val="000000"/>
          <w:sz w:val="24"/>
          <w:szCs w:val="24"/>
        </w:rPr>
      </w:pPr>
    </w:p>
    <w:p w:rsidR="000422AD" w:rsidRPr="000422AD" w:rsidRDefault="000422AD" w:rsidP="000422AD">
      <w:pPr>
        <w:autoSpaceDE w:val="0"/>
        <w:autoSpaceDN w:val="0"/>
        <w:adjustRightInd w:val="0"/>
        <w:ind w:firstLine="60"/>
        <w:rPr>
          <w:rFonts w:ascii="Calibri" w:hAnsi="Calibri" w:cs="Calibri"/>
          <w:color w:val="000000"/>
          <w:sz w:val="24"/>
          <w:szCs w:val="24"/>
        </w:rPr>
      </w:pPr>
    </w:p>
    <w:p w:rsidR="000422AD" w:rsidRPr="000422AD" w:rsidRDefault="000422AD" w:rsidP="000422AD">
      <w:pPr>
        <w:pStyle w:val="ListParagraph"/>
        <w:numPr>
          <w:ilvl w:val="0"/>
          <w:numId w:val="1"/>
        </w:numPr>
        <w:autoSpaceDE w:val="0"/>
        <w:autoSpaceDN w:val="0"/>
        <w:adjustRightInd w:val="0"/>
        <w:rPr>
          <w:rFonts w:ascii="Calibri" w:hAnsi="Calibri" w:cs="Calibri"/>
          <w:color w:val="000000"/>
          <w:sz w:val="20"/>
          <w:szCs w:val="20"/>
        </w:rPr>
      </w:pPr>
      <w:r w:rsidRPr="000422AD">
        <w:rPr>
          <w:rFonts w:ascii="Calibri" w:hAnsi="Calibri" w:cs="Calibri"/>
          <w:color w:val="000000"/>
          <w:sz w:val="20"/>
          <w:szCs w:val="20"/>
        </w:rPr>
        <w:lastRenderedPageBreak/>
        <w:t xml:space="preserve">Any residential property owner entitled to </w:t>
      </w:r>
      <w:proofErr w:type="gramStart"/>
      <w:r w:rsidRPr="000422AD">
        <w:rPr>
          <w:rFonts w:ascii="Calibri" w:hAnsi="Calibri" w:cs="Calibri"/>
          <w:color w:val="000000"/>
          <w:sz w:val="20"/>
          <w:szCs w:val="20"/>
        </w:rPr>
        <w:t>an abatement</w:t>
      </w:r>
      <w:proofErr w:type="gramEnd"/>
      <w:r w:rsidRPr="000422AD">
        <w:rPr>
          <w:rFonts w:ascii="Calibri" w:hAnsi="Calibri" w:cs="Calibri"/>
          <w:color w:val="000000"/>
          <w:sz w:val="20"/>
          <w:szCs w:val="20"/>
        </w:rPr>
        <w:t xml:space="preserve"> or statutory exemption is automatically entitled to a proportional reduction in the CPA surcharge. </w:t>
      </w:r>
    </w:p>
    <w:p w:rsidR="000422AD" w:rsidRDefault="000422AD" w:rsidP="000422AD">
      <w:pPr>
        <w:autoSpaceDE w:val="0"/>
        <w:autoSpaceDN w:val="0"/>
        <w:adjustRightInd w:val="0"/>
        <w:rPr>
          <w:rFonts w:ascii="Calibri" w:hAnsi="Calibri" w:cs="Calibri"/>
          <w:b/>
          <w:bCs/>
          <w:i/>
          <w:iCs/>
          <w:color w:val="000000"/>
          <w:sz w:val="28"/>
          <w:szCs w:val="28"/>
        </w:rPr>
      </w:pPr>
    </w:p>
    <w:p w:rsidR="000422AD" w:rsidRPr="000422AD" w:rsidRDefault="000422AD" w:rsidP="000422AD">
      <w:pPr>
        <w:autoSpaceDE w:val="0"/>
        <w:autoSpaceDN w:val="0"/>
        <w:adjustRightInd w:val="0"/>
        <w:rPr>
          <w:rFonts w:ascii="Calibri" w:hAnsi="Calibri" w:cs="Calibri"/>
          <w:color w:val="000000"/>
          <w:sz w:val="28"/>
          <w:szCs w:val="28"/>
        </w:rPr>
      </w:pPr>
      <w:r w:rsidRPr="000422AD">
        <w:rPr>
          <w:rFonts w:ascii="Calibri" w:hAnsi="Calibri" w:cs="Calibri"/>
          <w:b/>
          <w:bCs/>
          <w:i/>
          <w:iCs/>
          <w:color w:val="000000"/>
          <w:sz w:val="28"/>
          <w:szCs w:val="28"/>
        </w:rPr>
        <w:t xml:space="preserve">What are the requirements for a full CPA exemption? </w:t>
      </w:r>
    </w:p>
    <w:p w:rsidR="000422AD" w:rsidRPr="000422AD" w:rsidRDefault="000422AD" w:rsidP="000422AD">
      <w:pPr>
        <w:autoSpaceDE w:val="0"/>
        <w:autoSpaceDN w:val="0"/>
        <w:adjustRightInd w:val="0"/>
        <w:rPr>
          <w:rFonts w:ascii="Calibri" w:hAnsi="Calibri" w:cs="Calibri"/>
          <w:color w:val="000000"/>
          <w:sz w:val="20"/>
          <w:szCs w:val="20"/>
        </w:rPr>
      </w:pPr>
      <w:r w:rsidRPr="000422AD">
        <w:rPr>
          <w:rFonts w:ascii="Calibri" w:hAnsi="Calibri" w:cs="Calibri"/>
          <w:color w:val="000000"/>
          <w:sz w:val="20"/>
          <w:szCs w:val="20"/>
        </w:rPr>
        <w:t xml:space="preserve">To qualify for an exemption for FY 2015, residential property owners must meet: </w:t>
      </w:r>
    </w:p>
    <w:p w:rsidR="000422AD" w:rsidRPr="000422AD" w:rsidRDefault="000422AD" w:rsidP="000422AD">
      <w:pPr>
        <w:pStyle w:val="ListParagraph"/>
        <w:numPr>
          <w:ilvl w:val="0"/>
          <w:numId w:val="1"/>
        </w:numPr>
        <w:autoSpaceDE w:val="0"/>
        <w:autoSpaceDN w:val="0"/>
        <w:adjustRightInd w:val="0"/>
        <w:spacing w:after="63"/>
        <w:rPr>
          <w:rFonts w:ascii="Calibri" w:hAnsi="Calibri" w:cs="Calibri"/>
          <w:color w:val="000000"/>
          <w:sz w:val="20"/>
          <w:szCs w:val="20"/>
        </w:rPr>
      </w:pPr>
      <w:r w:rsidRPr="000422AD">
        <w:rPr>
          <w:rFonts w:ascii="Calibri" w:hAnsi="Calibri" w:cs="Calibri"/>
          <w:color w:val="000000"/>
          <w:sz w:val="20"/>
          <w:szCs w:val="20"/>
        </w:rPr>
        <w:t xml:space="preserve">Age and residence requirements as of January 1, 2014 </w:t>
      </w:r>
    </w:p>
    <w:p w:rsidR="000422AD" w:rsidRPr="000422AD" w:rsidRDefault="000422AD" w:rsidP="000422AD">
      <w:pPr>
        <w:pStyle w:val="ListParagraph"/>
        <w:numPr>
          <w:ilvl w:val="0"/>
          <w:numId w:val="1"/>
        </w:numPr>
        <w:autoSpaceDE w:val="0"/>
        <w:autoSpaceDN w:val="0"/>
        <w:adjustRightInd w:val="0"/>
        <w:rPr>
          <w:rFonts w:ascii="Calibri" w:hAnsi="Calibri" w:cs="Calibri"/>
          <w:color w:val="000000"/>
          <w:sz w:val="20"/>
          <w:szCs w:val="20"/>
        </w:rPr>
      </w:pPr>
      <w:r w:rsidRPr="000422AD">
        <w:rPr>
          <w:rFonts w:ascii="Calibri" w:hAnsi="Calibri" w:cs="Calibri"/>
          <w:color w:val="000000"/>
          <w:sz w:val="20"/>
          <w:szCs w:val="20"/>
        </w:rPr>
        <w:t xml:space="preserve">Income requirements based on </w:t>
      </w:r>
      <w:r w:rsidRPr="000422AD">
        <w:rPr>
          <w:rFonts w:ascii="Calibri" w:hAnsi="Calibri" w:cs="Calibri"/>
          <w:b/>
          <w:bCs/>
          <w:color w:val="000000"/>
          <w:sz w:val="20"/>
          <w:szCs w:val="20"/>
        </w:rPr>
        <w:t xml:space="preserve">2013 income </w:t>
      </w:r>
    </w:p>
    <w:p w:rsidR="000422AD" w:rsidRPr="000422AD" w:rsidRDefault="000422AD" w:rsidP="000422AD">
      <w:pPr>
        <w:autoSpaceDE w:val="0"/>
        <w:autoSpaceDN w:val="0"/>
        <w:adjustRightInd w:val="0"/>
        <w:rPr>
          <w:rFonts w:ascii="Calibri" w:hAnsi="Calibri" w:cs="Calibr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2162"/>
        <w:gridCol w:w="2162"/>
      </w:tblGrid>
      <w:tr w:rsidR="000422AD" w:rsidRPr="000422AD" w:rsidTr="000422AD">
        <w:tblPrEx>
          <w:tblCellMar>
            <w:top w:w="0" w:type="dxa"/>
            <w:bottom w:w="0" w:type="dxa"/>
          </w:tblCellMar>
        </w:tblPrEx>
        <w:trPr>
          <w:trHeight w:val="320"/>
        </w:trPr>
        <w:tc>
          <w:tcPr>
            <w:tcW w:w="4324" w:type="dxa"/>
            <w:gridSpan w:val="2"/>
          </w:tcPr>
          <w:p w:rsidR="000422AD" w:rsidRDefault="000422AD" w:rsidP="000422AD">
            <w:pPr>
              <w:autoSpaceDE w:val="0"/>
              <w:autoSpaceDN w:val="0"/>
              <w:adjustRightInd w:val="0"/>
              <w:rPr>
                <w:rFonts w:ascii="Calibri" w:hAnsi="Calibri" w:cs="Calibri"/>
                <w:color w:val="000000"/>
                <w:sz w:val="20"/>
                <w:szCs w:val="20"/>
              </w:rPr>
            </w:pPr>
            <w:r w:rsidRPr="000422AD">
              <w:rPr>
                <w:rFonts w:ascii="Calibri" w:hAnsi="Calibri" w:cs="Calibri"/>
                <w:color w:val="000000"/>
                <w:sz w:val="20"/>
                <w:szCs w:val="20"/>
              </w:rPr>
              <w:t>There are two categories of income limits</w:t>
            </w:r>
          </w:p>
          <w:p w:rsidR="000422AD" w:rsidRDefault="000422AD" w:rsidP="000422AD">
            <w:pPr>
              <w:autoSpaceDE w:val="0"/>
              <w:autoSpaceDN w:val="0"/>
              <w:adjustRightInd w:val="0"/>
              <w:rPr>
                <w:rFonts w:ascii="Calibri" w:hAnsi="Calibri" w:cs="Calibri"/>
                <w:color w:val="000000"/>
                <w:sz w:val="20"/>
                <w:szCs w:val="20"/>
              </w:rPr>
            </w:pPr>
          </w:p>
          <w:p w:rsidR="000422AD" w:rsidRDefault="000422AD" w:rsidP="000422AD">
            <w:pPr>
              <w:autoSpaceDE w:val="0"/>
              <w:autoSpaceDN w:val="0"/>
              <w:adjustRightInd w:val="0"/>
              <w:rPr>
                <w:rFonts w:ascii="Calibri" w:hAnsi="Calibri" w:cs="Calibri"/>
                <w:color w:val="000000"/>
                <w:sz w:val="18"/>
                <w:szCs w:val="18"/>
              </w:rPr>
            </w:pPr>
            <w:r w:rsidRPr="000422AD">
              <w:rPr>
                <w:rFonts w:ascii="Calibri" w:hAnsi="Calibri" w:cs="Calibri"/>
                <w:color w:val="000000"/>
                <w:sz w:val="20"/>
                <w:szCs w:val="20"/>
              </w:rPr>
              <w:t xml:space="preserve"> </w:t>
            </w:r>
            <w:r w:rsidRPr="000422AD">
              <w:rPr>
                <w:rFonts w:ascii="Calibri" w:hAnsi="Calibri" w:cs="Calibri"/>
                <w:b/>
                <w:bCs/>
                <w:color w:val="000000"/>
                <w:sz w:val="18"/>
                <w:szCs w:val="18"/>
              </w:rPr>
              <w:t xml:space="preserve">Over 60 years of age </w:t>
            </w:r>
            <w:r w:rsidRPr="000422AD">
              <w:rPr>
                <w:rFonts w:ascii="Calibri" w:hAnsi="Calibri" w:cs="Calibri"/>
                <w:color w:val="000000"/>
                <w:sz w:val="18"/>
                <w:szCs w:val="18"/>
              </w:rPr>
              <w:t xml:space="preserve">with annual income not exceeding the limit for your size household </w:t>
            </w:r>
          </w:p>
          <w:p w:rsidR="000422AD" w:rsidRPr="000422AD" w:rsidRDefault="000422AD" w:rsidP="000422AD">
            <w:pPr>
              <w:autoSpaceDE w:val="0"/>
              <w:autoSpaceDN w:val="0"/>
              <w:adjustRightInd w:val="0"/>
              <w:rPr>
                <w:rFonts w:ascii="Calibri" w:hAnsi="Calibri" w:cs="Calibri"/>
                <w:color w:val="000000"/>
                <w:sz w:val="18"/>
                <w:szCs w:val="18"/>
              </w:rPr>
            </w:pPr>
          </w:p>
        </w:tc>
      </w:tr>
      <w:tr w:rsidR="000422AD" w:rsidRPr="000422AD" w:rsidTr="000422AD">
        <w:tblPrEx>
          <w:tblCellMar>
            <w:top w:w="0" w:type="dxa"/>
            <w:bottom w:w="0" w:type="dxa"/>
          </w:tblCellMar>
        </w:tblPrEx>
        <w:trPr>
          <w:trHeight w:val="185"/>
        </w:trPr>
        <w:tc>
          <w:tcPr>
            <w:tcW w:w="2162" w:type="dxa"/>
          </w:tcPr>
          <w:p w:rsidR="000422AD" w:rsidRPr="000422AD" w:rsidRDefault="000422AD" w:rsidP="000422AD">
            <w:pPr>
              <w:autoSpaceDE w:val="0"/>
              <w:autoSpaceDN w:val="0"/>
              <w:adjustRightInd w:val="0"/>
              <w:jc w:val="center"/>
              <w:rPr>
                <w:rFonts w:ascii="Calibri" w:hAnsi="Calibri" w:cs="Calibri"/>
                <w:color w:val="000000"/>
                <w:sz w:val="16"/>
                <w:szCs w:val="16"/>
              </w:rPr>
            </w:pPr>
            <w:r w:rsidRPr="000422AD">
              <w:rPr>
                <w:rFonts w:ascii="Calibri" w:hAnsi="Calibri" w:cs="Calibri"/>
                <w:b/>
                <w:bCs/>
                <w:color w:val="000000"/>
                <w:sz w:val="16"/>
                <w:szCs w:val="16"/>
              </w:rPr>
              <w:t>Household Size</w:t>
            </w:r>
          </w:p>
        </w:tc>
        <w:tc>
          <w:tcPr>
            <w:tcW w:w="2162" w:type="dxa"/>
          </w:tcPr>
          <w:p w:rsidR="000422AD" w:rsidRPr="000422AD" w:rsidRDefault="000422AD" w:rsidP="000422AD">
            <w:pPr>
              <w:autoSpaceDE w:val="0"/>
              <w:autoSpaceDN w:val="0"/>
              <w:adjustRightInd w:val="0"/>
              <w:jc w:val="center"/>
              <w:rPr>
                <w:rFonts w:ascii="Calibri" w:hAnsi="Calibri" w:cs="Calibri"/>
                <w:color w:val="000000"/>
                <w:sz w:val="16"/>
                <w:szCs w:val="16"/>
              </w:rPr>
            </w:pPr>
            <w:r w:rsidRPr="000422AD">
              <w:rPr>
                <w:rFonts w:ascii="Calibri" w:hAnsi="Calibri" w:cs="Calibri"/>
                <w:b/>
                <w:bCs/>
                <w:color w:val="000000"/>
                <w:sz w:val="16"/>
                <w:szCs w:val="16"/>
              </w:rPr>
              <w:t>Annual Income Limit</w:t>
            </w:r>
          </w:p>
        </w:tc>
      </w:tr>
      <w:tr w:rsidR="000422AD" w:rsidRPr="000422AD" w:rsidTr="000422AD">
        <w:tblPrEx>
          <w:tblCellMar>
            <w:top w:w="0" w:type="dxa"/>
            <w:bottom w:w="0" w:type="dxa"/>
          </w:tblCellMar>
        </w:tblPrEx>
        <w:trPr>
          <w:trHeight w:val="93"/>
        </w:trPr>
        <w:tc>
          <w:tcPr>
            <w:tcW w:w="2162"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1</w:t>
            </w:r>
          </w:p>
        </w:tc>
        <w:tc>
          <w:tcPr>
            <w:tcW w:w="2162"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$65,870</w:t>
            </w:r>
          </w:p>
        </w:tc>
      </w:tr>
      <w:tr w:rsidR="000422AD" w:rsidRPr="000422AD" w:rsidTr="000422AD">
        <w:tblPrEx>
          <w:tblCellMar>
            <w:top w:w="0" w:type="dxa"/>
            <w:bottom w:w="0" w:type="dxa"/>
          </w:tblCellMar>
        </w:tblPrEx>
        <w:trPr>
          <w:trHeight w:val="93"/>
        </w:trPr>
        <w:tc>
          <w:tcPr>
            <w:tcW w:w="2162"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2</w:t>
            </w:r>
          </w:p>
        </w:tc>
        <w:tc>
          <w:tcPr>
            <w:tcW w:w="2162"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$75,280</w:t>
            </w:r>
          </w:p>
        </w:tc>
      </w:tr>
      <w:tr w:rsidR="000422AD" w:rsidRPr="000422AD" w:rsidTr="000422AD">
        <w:tblPrEx>
          <w:tblCellMar>
            <w:top w:w="0" w:type="dxa"/>
            <w:bottom w:w="0" w:type="dxa"/>
          </w:tblCellMar>
        </w:tblPrEx>
        <w:trPr>
          <w:trHeight w:val="93"/>
        </w:trPr>
        <w:tc>
          <w:tcPr>
            <w:tcW w:w="2162"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3</w:t>
            </w:r>
          </w:p>
        </w:tc>
        <w:tc>
          <w:tcPr>
            <w:tcW w:w="2162"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$84,693</w:t>
            </w:r>
          </w:p>
        </w:tc>
      </w:tr>
      <w:tr w:rsidR="000422AD" w:rsidRPr="000422AD" w:rsidTr="000422AD">
        <w:tblPrEx>
          <w:tblCellMar>
            <w:top w:w="0" w:type="dxa"/>
            <w:bottom w:w="0" w:type="dxa"/>
          </w:tblCellMar>
        </w:tblPrEx>
        <w:trPr>
          <w:trHeight w:val="93"/>
        </w:trPr>
        <w:tc>
          <w:tcPr>
            <w:tcW w:w="2162"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4</w:t>
            </w:r>
          </w:p>
        </w:tc>
        <w:tc>
          <w:tcPr>
            <w:tcW w:w="2162"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$94,400</w:t>
            </w:r>
          </w:p>
        </w:tc>
      </w:tr>
      <w:tr w:rsidR="000422AD" w:rsidRPr="000422AD" w:rsidTr="000422AD">
        <w:tblPrEx>
          <w:tblCellMar>
            <w:top w:w="0" w:type="dxa"/>
            <w:bottom w:w="0" w:type="dxa"/>
          </w:tblCellMar>
        </w:tblPrEx>
        <w:trPr>
          <w:trHeight w:val="93"/>
        </w:trPr>
        <w:tc>
          <w:tcPr>
            <w:tcW w:w="2162"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5</w:t>
            </w:r>
          </w:p>
        </w:tc>
        <w:tc>
          <w:tcPr>
            <w:tcW w:w="2162"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$101,628</w:t>
            </w:r>
          </w:p>
        </w:tc>
      </w:tr>
      <w:tr w:rsidR="000422AD" w:rsidRPr="000422AD" w:rsidTr="000422AD">
        <w:tblPrEx>
          <w:tblCellMar>
            <w:top w:w="0" w:type="dxa"/>
            <w:bottom w:w="0" w:type="dxa"/>
          </w:tblCellMar>
        </w:tblPrEx>
        <w:trPr>
          <w:trHeight w:val="93"/>
        </w:trPr>
        <w:tc>
          <w:tcPr>
            <w:tcW w:w="2162"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6</w:t>
            </w:r>
          </w:p>
        </w:tc>
        <w:tc>
          <w:tcPr>
            <w:tcW w:w="2162"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$109,156</w:t>
            </w:r>
          </w:p>
        </w:tc>
      </w:tr>
    </w:tbl>
    <w:p w:rsidR="000422AD" w:rsidRPr="000422AD" w:rsidRDefault="000422AD" w:rsidP="000422A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064"/>
        <w:gridCol w:w="2064"/>
      </w:tblGrid>
      <w:tr w:rsidR="000422AD" w:rsidRPr="000422AD" w:rsidTr="000422AD">
        <w:tblPrEx>
          <w:tblCellMar>
            <w:top w:w="0" w:type="dxa"/>
            <w:bottom w:w="0" w:type="dxa"/>
          </w:tblCellMar>
        </w:tblPrEx>
        <w:trPr>
          <w:trHeight w:val="327"/>
        </w:trPr>
        <w:tc>
          <w:tcPr>
            <w:tcW w:w="4128" w:type="dxa"/>
            <w:gridSpan w:val="2"/>
          </w:tcPr>
          <w:p w:rsidR="000422AD" w:rsidRDefault="000422AD" w:rsidP="000422AD">
            <w:pPr>
              <w:autoSpaceDE w:val="0"/>
              <w:autoSpaceDN w:val="0"/>
              <w:adjustRightInd w:val="0"/>
              <w:rPr>
                <w:rFonts w:ascii="Calibri" w:hAnsi="Calibri" w:cs="Calibri"/>
                <w:color w:val="000000"/>
                <w:sz w:val="18"/>
                <w:szCs w:val="18"/>
              </w:rPr>
            </w:pPr>
            <w:r w:rsidRPr="000422AD">
              <w:rPr>
                <w:rFonts w:ascii="Calibri" w:hAnsi="Calibri" w:cs="Calibri"/>
                <w:color w:val="000000"/>
                <w:sz w:val="24"/>
                <w:szCs w:val="24"/>
              </w:rPr>
              <w:t xml:space="preserve"> </w:t>
            </w:r>
            <w:r w:rsidRPr="000422AD">
              <w:rPr>
                <w:rFonts w:ascii="Calibri" w:hAnsi="Calibri" w:cs="Calibri"/>
                <w:b/>
                <w:bCs/>
                <w:color w:val="000000"/>
                <w:sz w:val="18"/>
                <w:szCs w:val="18"/>
              </w:rPr>
              <w:t xml:space="preserve">Under 60 years of age </w:t>
            </w:r>
            <w:r w:rsidRPr="000422AD">
              <w:rPr>
                <w:rFonts w:ascii="Calibri" w:hAnsi="Calibri" w:cs="Calibri"/>
                <w:color w:val="000000"/>
                <w:sz w:val="18"/>
                <w:szCs w:val="18"/>
              </w:rPr>
              <w:t xml:space="preserve">with annual income not exceeding the limit for your size household </w:t>
            </w:r>
          </w:p>
          <w:p w:rsidR="000422AD" w:rsidRPr="000422AD" w:rsidRDefault="000422AD" w:rsidP="000422AD">
            <w:pPr>
              <w:autoSpaceDE w:val="0"/>
              <w:autoSpaceDN w:val="0"/>
              <w:adjustRightInd w:val="0"/>
              <w:rPr>
                <w:rFonts w:ascii="Calibri" w:hAnsi="Calibri" w:cs="Calibri"/>
                <w:color w:val="000000"/>
                <w:sz w:val="18"/>
                <w:szCs w:val="18"/>
              </w:rPr>
            </w:pPr>
          </w:p>
        </w:tc>
      </w:tr>
      <w:tr w:rsidR="000422AD" w:rsidRPr="000422AD" w:rsidTr="000422AD">
        <w:tblPrEx>
          <w:tblCellMar>
            <w:top w:w="0" w:type="dxa"/>
            <w:bottom w:w="0" w:type="dxa"/>
          </w:tblCellMar>
        </w:tblPrEx>
        <w:trPr>
          <w:trHeight w:val="187"/>
        </w:trPr>
        <w:tc>
          <w:tcPr>
            <w:tcW w:w="2064" w:type="dxa"/>
          </w:tcPr>
          <w:p w:rsidR="000422AD" w:rsidRPr="000422AD" w:rsidRDefault="000422AD" w:rsidP="000422AD">
            <w:pPr>
              <w:autoSpaceDE w:val="0"/>
              <w:autoSpaceDN w:val="0"/>
              <w:adjustRightInd w:val="0"/>
              <w:jc w:val="center"/>
              <w:rPr>
                <w:rFonts w:ascii="Calibri" w:hAnsi="Calibri" w:cs="Calibri"/>
                <w:color w:val="000000"/>
                <w:sz w:val="16"/>
                <w:szCs w:val="16"/>
              </w:rPr>
            </w:pPr>
            <w:r w:rsidRPr="000422AD">
              <w:rPr>
                <w:rFonts w:ascii="Calibri" w:hAnsi="Calibri" w:cs="Calibri"/>
                <w:b/>
                <w:bCs/>
                <w:color w:val="000000"/>
                <w:sz w:val="16"/>
                <w:szCs w:val="16"/>
              </w:rPr>
              <w:t>Household Size</w:t>
            </w:r>
          </w:p>
        </w:tc>
        <w:tc>
          <w:tcPr>
            <w:tcW w:w="2064" w:type="dxa"/>
          </w:tcPr>
          <w:p w:rsidR="000422AD" w:rsidRPr="000422AD" w:rsidRDefault="000422AD" w:rsidP="000422AD">
            <w:pPr>
              <w:autoSpaceDE w:val="0"/>
              <w:autoSpaceDN w:val="0"/>
              <w:adjustRightInd w:val="0"/>
              <w:jc w:val="center"/>
              <w:rPr>
                <w:rFonts w:ascii="Calibri" w:hAnsi="Calibri" w:cs="Calibri"/>
                <w:color w:val="000000"/>
                <w:sz w:val="16"/>
                <w:szCs w:val="16"/>
              </w:rPr>
            </w:pPr>
            <w:r w:rsidRPr="000422AD">
              <w:rPr>
                <w:rFonts w:ascii="Calibri" w:hAnsi="Calibri" w:cs="Calibri"/>
                <w:b/>
                <w:bCs/>
                <w:color w:val="000000"/>
                <w:sz w:val="16"/>
                <w:szCs w:val="16"/>
              </w:rPr>
              <w:t>Annual Income Limit</w:t>
            </w:r>
          </w:p>
        </w:tc>
      </w:tr>
      <w:tr w:rsidR="000422AD" w:rsidRPr="000422AD" w:rsidTr="000422AD">
        <w:tblPrEx>
          <w:tblCellMar>
            <w:top w:w="0" w:type="dxa"/>
            <w:bottom w:w="0" w:type="dxa"/>
          </w:tblCellMar>
        </w:tblPrEx>
        <w:trPr>
          <w:trHeight w:val="95"/>
        </w:trPr>
        <w:tc>
          <w:tcPr>
            <w:tcW w:w="2064"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1</w:t>
            </w:r>
          </w:p>
        </w:tc>
        <w:tc>
          <w:tcPr>
            <w:tcW w:w="2064"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$52,696</w:t>
            </w:r>
          </w:p>
        </w:tc>
      </w:tr>
      <w:tr w:rsidR="000422AD" w:rsidRPr="000422AD" w:rsidTr="000422AD">
        <w:tblPrEx>
          <w:tblCellMar>
            <w:top w:w="0" w:type="dxa"/>
            <w:bottom w:w="0" w:type="dxa"/>
          </w:tblCellMar>
        </w:tblPrEx>
        <w:trPr>
          <w:trHeight w:val="95"/>
        </w:trPr>
        <w:tc>
          <w:tcPr>
            <w:tcW w:w="2064"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2</w:t>
            </w:r>
          </w:p>
        </w:tc>
        <w:tc>
          <w:tcPr>
            <w:tcW w:w="2064"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$60,224</w:t>
            </w:r>
          </w:p>
        </w:tc>
      </w:tr>
      <w:tr w:rsidR="000422AD" w:rsidRPr="000422AD" w:rsidTr="000422AD">
        <w:tblPrEx>
          <w:tblCellMar>
            <w:top w:w="0" w:type="dxa"/>
            <w:bottom w:w="0" w:type="dxa"/>
          </w:tblCellMar>
        </w:tblPrEx>
        <w:trPr>
          <w:trHeight w:val="95"/>
        </w:trPr>
        <w:tc>
          <w:tcPr>
            <w:tcW w:w="2064"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3</w:t>
            </w:r>
          </w:p>
        </w:tc>
        <w:tc>
          <w:tcPr>
            <w:tcW w:w="2064"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$67,752</w:t>
            </w:r>
          </w:p>
        </w:tc>
      </w:tr>
      <w:tr w:rsidR="000422AD" w:rsidRPr="000422AD" w:rsidTr="000422AD">
        <w:tblPrEx>
          <w:tblCellMar>
            <w:top w:w="0" w:type="dxa"/>
            <w:bottom w:w="0" w:type="dxa"/>
          </w:tblCellMar>
        </w:tblPrEx>
        <w:trPr>
          <w:trHeight w:val="95"/>
        </w:trPr>
        <w:tc>
          <w:tcPr>
            <w:tcW w:w="2064"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4</w:t>
            </w:r>
          </w:p>
        </w:tc>
        <w:tc>
          <w:tcPr>
            <w:tcW w:w="2064"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$75,280</w:t>
            </w:r>
          </w:p>
        </w:tc>
      </w:tr>
      <w:tr w:rsidR="000422AD" w:rsidRPr="000422AD" w:rsidTr="000422AD">
        <w:tblPrEx>
          <w:tblCellMar>
            <w:top w:w="0" w:type="dxa"/>
            <w:bottom w:w="0" w:type="dxa"/>
          </w:tblCellMar>
        </w:tblPrEx>
        <w:trPr>
          <w:trHeight w:val="95"/>
        </w:trPr>
        <w:tc>
          <w:tcPr>
            <w:tcW w:w="2064"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5</w:t>
            </w:r>
          </w:p>
        </w:tc>
        <w:tc>
          <w:tcPr>
            <w:tcW w:w="2064"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$81,302</w:t>
            </w:r>
          </w:p>
        </w:tc>
      </w:tr>
      <w:tr w:rsidR="000422AD" w:rsidRPr="000422AD" w:rsidTr="000422AD">
        <w:tblPrEx>
          <w:tblCellMar>
            <w:top w:w="0" w:type="dxa"/>
            <w:bottom w:w="0" w:type="dxa"/>
          </w:tblCellMar>
        </w:tblPrEx>
        <w:trPr>
          <w:trHeight w:val="95"/>
        </w:trPr>
        <w:tc>
          <w:tcPr>
            <w:tcW w:w="2064"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6</w:t>
            </w:r>
          </w:p>
        </w:tc>
        <w:tc>
          <w:tcPr>
            <w:tcW w:w="2064" w:type="dxa"/>
          </w:tcPr>
          <w:p w:rsidR="000422AD" w:rsidRPr="000422AD" w:rsidRDefault="000422AD" w:rsidP="000422AD">
            <w:pPr>
              <w:autoSpaceDE w:val="0"/>
              <w:autoSpaceDN w:val="0"/>
              <w:adjustRightInd w:val="0"/>
              <w:jc w:val="center"/>
              <w:rPr>
                <w:rFonts w:ascii="Calibri" w:hAnsi="Calibri" w:cs="Calibri"/>
                <w:color w:val="000000"/>
                <w:sz w:val="18"/>
                <w:szCs w:val="18"/>
              </w:rPr>
            </w:pPr>
            <w:r w:rsidRPr="000422AD">
              <w:rPr>
                <w:rFonts w:ascii="Calibri" w:hAnsi="Calibri" w:cs="Calibri"/>
                <w:color w:val="000000"/>
                <w:sz w:val="18"/>
                <w:szCs w:val="18"/>
              </w:rPr>
              <w:t>$87,325</w:t>
            </w:r>
          </w:p>
        </w:tc>
      </w:tr>
    </w:tbl>
    <w:p w:rsidR="000422AD" w:rsidRDefault="000422AD" w:rsidP="000422AD">
      <w:pPr>
        <w:pStyle w:val="Default"/>
      </w:pPr>
    </w:p>
    <w:p w:rsidR="000422AD" w:rsidRDefault="000422AD" w:rsidP="000422AD">
      <w:pPr>
        <w:pStyle w:val="Default"/>
      </w:pPr>
      <w:r>
        <w:t xml:space="preserve"> </w:t>
      </w:r>
    </w:p>
    <w:p w:rsidR="000422AD" w:rsidRDefault="000422AD" w:rsidP="000422AD">
      <w:pPr>
        <w:pStyle w:val="Default"/>
      </w:pPr>
    </w:p>
    <w:p w:rsidR="000422AD" w:rsidRDefault="000422AD" w:rsidP="000422AD">
      <w:pPr>
        <w:pStyle w:val="Default"/>
      </w:pPr>
    </w:p>
    <w:p w:rsidR="000422AD" w:rsidRDefault="000422AD" w:rsidP="000422AD">
      <w:pPr>
        <w:pStyle w:val="Default"/>
      </w:pPr>
    </w:p>
    <w:p w:rsidR="000422AD" w:rsidRDefault="000422AD" w:rsidP="000422AD">
      <w:pPr>
        <w:pStyle w:val="Default"/>
      </w:pPr>
    </w:p>
    <w:p w:rsidR="000422AD" w:rsidRDefault="000422AD" w:rsidP="000422AD">
      <w:pPr>
        <w:pStyle w:val="Default"/>
        <w:rPr>
          <w:sz w:val="28"/>
          <w:szCs w:val="28"/>
        </w:rPr>
      </w:pPr>
      <w:r>
        <w:rPr>
          <w:b/>
          <w:bCs/>
          <w:i/>
          <w:iCs/>
          <w:sz w:val="28"/>
          <w:szCs w:val="28"/>
        </w:rPr>
        <w:lastRenderedPageBreak/>
        <w:t xml:space="preserve">How do I apply for a full exemption? </w:t>
      </w:r>
    </w:p>
    <w:p w:rsidR="000422AD" w:rsidRDefault="000422AD" w:rsidP="000422AD">
      <w:pPr>
        <w:pStyle w:val="Default"/>
        <w:rPr>
          <w:sz w:val="20"/>
          <w:szCs w:val="20"/>
        </w:rPr>
      </w:pPr>
      <w:r>
        <w:rPr>
          <w:sz w:val="20"/>
          <w:szCs w:val="20"/>
        </w:rPr>
        <w:t xml:space="preserve">An application for exemption from the CPA surcharge must be filed annually with the Assessor’s Office. Supporting documentation is required which will help the Assessor make a determination of your eligibility for this exemption. A birth certificate and copies of your 2013 income tax returns must be included with your application. All documentation is </w:t>
      </w:r>
      <w:r>
        <w:rPr>
          <w:b/>
          <w:bCs/>
          <w:sz w:val="20"/>
          <w:szCs w:val="20"/>
        </w:rPr>
        <w:t xml:space="preserve">NOT </w:t>
      </w:r>
      <w:r>
        <w:rPr>
          <w:sz w:val="20"/>
          <w:szCs w:val="20"/>
        </w:rPr>
        <w:t xml:space="preserve">open to public inspection and will be kept private. </w:t>
      </w:r>
    </w:p>
    <w:p w:rsidR="00757D2B" w:rsidRDefault="00757D2B" w:rsidP="000422AD">
      <w:pPr>
        <w:pStyle w:val="Default"/>
        <w:rPr>
          <w:sz w:val="20"/>
          <w:szCs w:val="20"/>
        </w:rPr>
      </w:pPr>
    </w:p>
    <w:p w:rsidR="000422AD" w:rsidRDefault="000422AD" w:rsidP="000422AD">
      <w:pPr>
        <w:pStyle w:val="Default"/>
        <w:rPr>
          <w:sz w:val="20"/>
          <w:szCs w:val="20"/>
        </w:rPr>
      </w:pPr>
      <w:r>
        <w:rPr>
          <w:sz w:val="20"/>
          <w:szCs w:val="20"/>
        </w:rPr>
        <w:t xml:space="preserve">Note that filing an application does not relieve the taxpayer from paying the surcharge while the application is being reviewed. If an application is approved, the taxpayer will receive a refund of amounts already paid. </w:t>
      </w:r>
    </w:p>
    <w:p w:rsidR="000422AD" w:rsidRDefault="000422AD" w:rsidP="000422AD">
      <w:pPr>
        <w:pStyle w:val="Default"/>
        <w:rPr>
          <w:sz w:val="20"/>
          <w:szCs w:val="20"/>
        </w:rPr>
      </w:pPr>
    </w:p>
    <w:p w:rsidR="000422AD" w:rsidRDefault="000422AD" w:rsidP="000422AD">
      <w:pPr>
        <w:pStyle w:val="Default"/>
        <w:rPr>
          <w:sz w:val="20"/>
          <w:szCs w:val="20"/>
        </w:rPr>
      </w:pPr>
      <w:r>
        <w:rPr>
          <w:sz w:val="20"/>
          <w:szCs w:val="20"/>
        </w:rPr>
        <w:t xml:space="preserve">If you believe you are eligible for a full exemption, contact: </w:t>
      </w:r>
    </w:p>
    <w:p w:rsidR="000422AD" w:rsidRDefault="000422AD" w:rsidP="000422AD">
      <w:pPr>
        <w:pStyle w:val="Default"/>
        <w:rPr>
          <w:sz w:val="20"/>
          <w:szCs w:val="20"/>
        </w:rPr>
      </w:pPr>
    </w:p>
    <w:p w:rsidR="000422AD" w:rsidRDefault="000422AD" w:rsidP="000422AD">
      <w:pPr>
        <w:pStyle w:val="Default"/>
        <w:jc w:val="center"/>
        <w:rPr>
          <w:sz w:val="20"/>
          <w:szCs w:val="20"/>
        </w:rPr>
      </w:pPr>
      <w:r>
        <w:rPr>
          <w:sz w:val="20"/>
          <w:szCs w:val="20"/>
        </w:rPr>
        <w:t>Assessor’s Office</w:t>
      </w:r>
    </w:p>
    <w:p w:rsidR="000422AD" w:rsidRDefault="000422AD" w:rsidP="000422AD">
      <w:pPr>
        <w:pStyle w:val="Default"/>
        <w:jc w:val="center"/>
        <w:rPr>
          <w:sz w:val="20"/>
          <w:szCs w:val="20"/>
        </w:rPr>
      </w:pPr>
      <w:r>
        <w:rPr>
          <w:sz w:val="20"/>
          <w:szCs w:val="20"/>
        </w:rPr>
        <w:t>29 Middle Road</w:t>
      </w:r>
    </w:p>
    <w:p w:rsidR="000422AD" w:rsidRDefault="000422AD" w:rsidP="000422AD">
      <w:pPr>
        <w:pStyle w:val="Default"/>
        <w:jc w:val="center"/>
        <w:rPr>
          <w:sz w:val="20"/>
          <w:szCs w:val="20"/>
        </w:rPr>
      </w:pPr>
      <w:r>
        <w:rPr>
          <w:sz w:val="20"/>
          <w:szCs w:val="20"/>
        </w:rPr>
        <w:t>Boxborough, MA 01719</w:t>
      </w:r>
    </w:p>
    <w:p w:rsidR="000422AD" w:rsidRDefault="000422AD" w:rsidP="000422AD">
      <w:pPr>
        <w:pStyle w:val="Default"/>
        <w:jc w:val="center"/>
        <w:rPr>
          <w:sz w:val="20"/>
          <w:szCs w:val="20"/>
        </w:rPr>
      </w:pPr>
      <w:r>
        <w:rPr>
          <w:sz w:val="20"/>
          <w:szCs w:val="20"/>
        </w:rPr>
        <w:t>(978) 264-1720</w:t>
      </w:r>
    </w:p>
    <w:p w:rsidR="000422AD" w:rsidRDefault="000422AD" w:rsidP="000422AD">
      <w:pPr>
        <w:pStyle w:val="Default"/>
        <w:jc w:val="center"/>
        <w:rPr>
          <w:sz w:val="20"/>
          <w:szCs w:val="20"/>
        </w:rPr>
      </w:pPr>
      <w:r>
        <w:rPr>
          <w:sz w:val="20"/>
          <w:szCs w:val="20"/>
        </w:rPr>
        <w:t>randerson@boxborough-ma.gov</w:t>
      </w:r>
    </w:p>
    <w:p w:rsidR="000422AD" w:rsidRDefault="000422AD" w:rsidP="000422AD">
      <w:pPr>
        <w:pStyle w:val="Default"/>
        <w:rPr>
          <w:sz w:val="20"/>
          <w:szCs w:val="20"/>
        </w:rPr>
      </w:pPr>
    </w:p>
    <w:p w:rsidR="000422AD" w:rsidRDefault="000422AD" w:rsidP="000422AD">
      <w:pPr>
        <w:pStyle w:val="Default"/>
        <w:rPr>
          <w:sz w:val="20"/>
          <w:szCs w:val="20"/>
        </w:rPr>
      </w:pPr>
      <w:r>
        <w:rPr>
          <w:sz w:val="20"/>
          <w:szCs w:val="20"/>
        </w:rPr>
        <w:t xml:space="preserve">The Assessor’s Office is open: </w:t>
      </w:r>
    </w:p>
    <w:p w:rsidR="000422AD" w:rsidRDefault="000422AD" w:rsidP="000422AD">
      <w:pPr>
        <w:pStyle w:val="Default"/>
        <w:ind w:left="720"/>
        <w:rPr>
          <w:sz w:val="20"/>
          <w:szCs w:val="20"/>
        </w:rPr>
      </w:pPr>
      <w:r>
        <w:rPr>
          <w:sz w:val="20"/>
          <w:szCs w:val="20"/>
        </w:rPr>
        <w:t xml:space="preserve">Monday: 8am – 7pm </w:t>
      </w:r>
    </w:p>
    <w:p w:rsidR="000422AD" w:rsidRDefault="000422AD" w:rsidP="000422AD">
      <w:pPr>
        <w:pStyle w:val="Default"/>
        <w:ind w:left="720"/>
        <w:rPr>
          <w:sz w:val="20"/>
          <w:szCs w:val="20"/>
        </w:rPr>
      </w:pPr>
      <w:r>
        <w:rPr>
          <w:sz w:val="20"/>
          <w:szCs w:val="20"/>
        </w:rPr>
        <w:t xml:space="preserve">Tuesday-Thursday: 8am – 4pm </w:t>
      </w:r>
    </w:p>
    <w:p w:rsidR="000422AD" w:rsidRDefault="000422AD" w:rsidP="000422AD">
      <w:pPr>
        <w:rPr>
          <w:sz w:val="13"/>
          <w:szCs w:val="13"/>
        </w:rPr>
      </w:pPr>
    </w:p>
    <w:p w:rsidR="000422AD" w:rsidRDefault="000422AD" w:rsidP="000422AD">
      <w:pPr>
        <w:rPr>
          <w:sz w:val="13"/>
          <w:szCs w:val="13"/>
        </w:rPr>
      </w:pPr>
    </w:p>
    <w:p w:rsidR="000422AD" w:rsidRDefault="000422AD" w:rsidP="000422AD">
      <w:pPr>
        <w:rPr>
          <w:sz w:val="20"/>
          <w:szCs w:val="20"/>
        </w:rPr>
      </w:pPr>
      <w:proofErr w:type="gramStart"/>
      <w:r>
        <w:rPr>
          <w:sz w:val="13"/>
          <w:szCs w:val="13"/>
        </w:rPr>
        <w:t xml:space="preserve">1 </w:t>
      </w:r>
      <w:r>
        <w:rPr>
          <w:sz w:val="20"/>
          <w:szCs w:val="20"/>
        </w:rPr>
        <w:t>Calculation of Income Limits based on HUD AVMI (Housing Urban Development – Area Wide Median Income) of $94,100.</w:t>
      </w:r>
      <w:proofErr w:type="gramEnd"/>
    </w:p>
    <w:p w:rsidR="00757D2B" w:rsidRDefault="00757D2B" w:rsidP="000422AD">
      <w:pPr>
        <w:rPr>
          <w:sz w:val="20"/>
          <w:szCs w:val="20"/>
        </w:rPr>
      </w:pPr>
    </w:p>
    <w:p w:rsidR="00757D2B" w:rsidRDefault="00757D2B" w:rsidP="000422AD">
      <w:pPr>
        <w:rPr>
          <w:sz w:val="20"/>
          <w:szCs w:val="20"/>
        </w:rPr>
      </w:pPr>
    </w:p>
    <w:p w:rsidR="00757D2B" w:rsidRDefault="00757D2B" w:rsidP="000422AD">
      <w:pPr>
        <w:rPr>
          <w:sz w:val="20"/>
          <w:szCs w:val="20"/>
        </w:rPr>
      </w:pPr>
    </w:p>
    <w:p w:rsidR="00757D2B" w:rsidRDefault="00757D2B" w:rsidP="000422AD">
      <w:pPr>
        <w:rPr>
          <w:sz w:val="20"/>
          <w:szCs w:val="20"/>
        </w:rPr>
      </w:pPr>
    </w:p>
    <w:p w:rsidR="00757D2B" w:rsidRDefault="00757D2B" w:rsidP="000422AD">
      <w:pPr>
        <w:rPr>
          <w:sz w:val="20"/>
          <w:szCs w:val="20"/>
        </w:rPr>
      </w:pPr>
    </w:p>
    <w:p w:rsidR="00757D2B" w:rsidRDefault="00757D2B" w:rsidP="000422AD">
      <w:pPr>
        <w:rPr>
          <w:sz w:val="20"/>
          <w:szCs w:val="20"/>
        </w:rPr>
      </w:pPr>
    </w:p>
    <w:p w:rsidR="00757D2B" w:rsidRDefault="00757D2B" w:rsidP="000422AD">
      <w:pPr>
        <w:rPr>
          <w:sz w:val="20"/>
          <w:szCs w:val="20"/>
        </w:rPr>
      </w:pPr>
    </w:p>
    <w:p w:rsidR="00757D2B" w:rsidRDefault="00757D2B" w:rsidP="000422AD">
      <w:pPr>
        <w:rPr>
          <w:sz w:val="20"/>
          <w:szCs w:val="20"/>
        </w:rPr>
      </w:pPr>
    </w:p>
    <w:p w:rsidR="00757D2B" w:rsidRDefault="00757D2B" w:rsidP="000422AD">
      <w:pPr>
        <w:rPr>
          <w:sz w:val="20"/>
          <w:szCs w:val="20"/>
        </w:rPr>
      </w:pPr>
    </w:p>
    <w:p w:rsidR="00757D2B" w:rsidRDefault="00757D2B" w:rsidP="000422AD">
      <w:pPr>
        <w:rPr>
          <w:sz w:val="20"/>
          <w:szCs w:val="20"/>
        </w:rPr>
      </w:pPr>
    </w:p>
    <w:p w:rsidR="00757D2B" w:rsidRDefault="00757D2B" w:rsidP="000422AD">
      <w:pPr>
        <w:rPr>
          <w:sz w:val="20"/>
          <w:szCs w:val="20"/>
        </w:rPr>
      </w:pPr>
    </w:p>
    <w:p w:rsidR="00757D2B" w:rsidRDefault="00757D2B" w:rsidP="00757D2B">
      <w:pPr>
        <w:pStyle w:val="Default"/>
        <w:rPr>
          <w:b/>
          <w:bCs/>
          <w:i/>
          <w:iCs/>
          <w:sz w:val="28"/>
          <w:szCs w:val="28"/>
        </w:rPr>
      </w:pPr>
    </w:p>
    <w:p w:rsidR="00757D2B" w:rsidRDefault="00757D2B" w:rsidP="00757D2B">
      <w:pPr>
        <w:pStyle w:val="Default"/>
        <w:rPr>
          <w:b/>
          <w:bCs/>
          <w:i/>
          <w:iCs/>
          <w:sz w:val="28"/>
          <w:szCs w:val="28"/>
        </w:rPr>
      </w:pPr>
    </w:p>
    <w:p w:rsidR="00757D2B" w:rsidRDefault="00757D2B" w:rsidP="00757D2B">
      <w:pPr>
        <w:pStyle w:val="Default"/>
        <w:rPr>
          <w:b/>
          <w:bCs/>
          <w:i/>
          <w:iCs/>
          <w:sz w:val="28"/>
          <w:szCs w:val="28"/>
        </w:rPr>
      </w:pPr>
      <w:r>
        <w:rPr>
          <w:b/>
          <w:bCs/>
          <w:i/>
          <w:iCs/>
          <w:sz w:val="28"/>
          <w:szCs w:val="28"/>
        </w:rPr>
        <w:t xml:space="preserve">Did you know? </w:t>
      </w:r>
    </w:p>
    <w:p w:rsidR="00757D2B" w:rsidRDefault="00757D2B" w:rsidP="00757D2B">
      <w:pPr>
        <w:pStyle w:val="Default"/>
        <w:rPr>
          <w:sz w:val="28"/>
          <w:szCs w:val="28"/>
        </w:rPr>
      </w:pPr>
    </w:p>
    <w:p w:rsidR="00757D2B" w:rsidRDefault="00757D2B" w:rsidP="00757D2B">
      <w:pPr>
        <w:pStyle w:val="Default"/>
        <w:rPr>
          <w:sz w:val="22"/>
          <w:szCs w:val="22"/>
        </w:rPr>
      </w:pPr>
      <w:hyperlink r:id="rId6" w:history="1">
        <w:r w:rsidRPr="00DE706B">
          <w:rPr>
            <w:rStyle w:val="Hyperlink"/>
            <w:sz w:val="22"/>
            <w:szCs w:val="22"/>
          </w:rPr>
          <w:t>http://www.boxborough-ma.gov</w:t>
        </w:r>
      </w:hyperlink>
      <w:r>
        <w:rPr>
          <w:sz w:val="22"/>
          <w:szCs w:val="22"/>
        </w:rPr>
        <w:t xml:space="preserve"> </w:t>
      </w:r>
    </w:p>
    <w:p w:rsidR="00757D2B" w:rsidRDefault="00757D2B" w:rsidP="00757D2B">
      <w:pPr>
        <w:pStyle w:val="Default"/>
        <w:rPr>
          <w:sz w:val="22"/>
          <w:szCs w:val="22"/>
        </w:rPr>
      </w:pPr>
    </w:p>
    <w:p w:rsidR="00757D2B" w:rsidRDefault="00757D2B" w:rsidP="00757D2B">
      <w:pPr>
        <w:pStyle w:val="Default"/>
        <w:rPr>
          <w:sz w:val="22"/>
          <w:szCs w:val="22"/>
        </w:rPr>
      </w:pPr>
      <w:r>
        <w:rPr>
          <w:sz w:val="22"/>
          <w:szCs w:val="22"/>
        </w:rPr>
        <w:t xml:space="preserve">On the Town’s website, you can: </w:t>
      </w:r>
    </w:p>
    <w:p w:rsidR="00757D2B" w:rsidRDefault="00757D2B" w:rsidP="00757D2B">
      <w:pPr>
        <w:pStyle w:val="Default"/>
        <w:rPr>
          <w:sz w:val="22"/>
          <w:szCs w:val="22"/>
        </w:rPr>
      </w:pPr>
    </w:p>
    <w:p w:rsidR="00757D2B" w:rsidRDefault="00757D2B" w:rsidP="00757D2B">
      <w:pPr>
        <w:pStyle w:val="Default"/>
        <w:numPr>
          <w:ilvl w:val="0"/>
          <w:numId w:val="1"/>
        </w:numPr>
        <w:spacing w:after="68"/>
        <w:rPr>
          <w:sz w:val="22"/>
          <w:szCs w:val="22"/>
        </w:rPr>
      </w:pPr>
      <w:r>
        <w:rPr>
          <w:sz w:val="22"/>
          <w:szCs w:val="22"/>
        </w:rPr>
        <w:t xml:space="preserve">View Assessor’s maps and access our GIS maps </w:t>
      </w:r>
    </w:p>
    <w:p w:rsidR="00757D2B" w:rsidRDefault="00757D2B" w:rsidP="00757D2B">
      <w:pPr>
        <w:pStyle w:val="Default"/>
        <w:numPr>
          <w:ilvl w:val="0"/>
          <w:numId w:val="1"/>
        </w:numPr>
        <w:spacing w:after="68"/>
        <w:rPr>
          <w:sz w:val="22"/>
          <w:szCs w:val="22"/>
        </w:rPr>
      </w:pPr>
      <w:r>
        <w:rPr>
          <w:sz w:val="22"/>
          <w:szCs w:val="22"/>
        </w:rPr>
        <w:t xml:space="preserve">Find dates and times for scheduled public meetings and community events </w:t>
      </w:r>
    </w:p>
    <w:p w:rsidR="00757D2B" w:rsidRDefault="00757D2B" w:rsidP="00757D2B">
      <w:pPr>
        <w:pStyle w:val="Default"/>
        <w:numPr>
          <w:ilvl w:val="0"/>
          <w:numId w:val="1"/>
        </w:numPr>
        <w:spacing w:after="68"/>
        <w:rPr>
          <w:sz w:val="22"/>
          <w:szCs w:val="22"/>
        </w:rPr>
      </w:pPr>
      <w:r>
        <w:rPr>
          <w:sz w:val="22"/>
          <w:szCs w:val="22"/>
        </w:rPr>
        <w:t xml:space="preserve">View Transfer Station hours, regulations and fees </w:t>
      </w:r>
    </w:p>
    <w:p w:rsidR="00757D2B" w:rsidRDefault="00757D2B" w:rsidP="00757D2B">
      <w:pPr>
        <w:pStyle w:val="Default"/>
        <w:numPr>
          <w:ilvl w:val="0"/>
          <w:numId w:val="1"/>
        </w:numPr>
        <w:spacing w:after="68"/>
        <w:rPr>
          <w:sz w:val="22"/>
          <w:szCs w:val="22"/>
        </w:rPr>
      </w:pPr>
      <w:r>
        <w:rPr>
          <w:sz w:val="22"/>
          <w:szCs w:val="22"/>
        </w:rPr>
        <w:t xml:space="preserve">View warrants for upcoming elections and Town Meetings, and see results of voting </w:t>
      </w:r>
    </w:p>
    <w:p w:rsidR="00757D2B" w:rsidRDefault="00757D2B" w:rsidP="00757D2B">
      <w:pPr>
        <w:pStyle w:val="Default"/>
        <w:numPr>
          <w:ilvl w:val="0"/>
          <w:numId w:val="1"/>
        </w:numPr>
        <w:spacing w:after="68"/>
        <w:rPr>
          <w:sz w:val="22"/>
          <w:szCs w:val="22"/>
        </w:rPr>
      </w:pPr>
      <w:r>
        <w:rPr>
          <w:sz w:val="22"/>
          <w:szCs w:val="22"/>
        </w:rPr>
        <w:t xml:space="preserve">Find municipal announcements of current events </w:t>
      </w:r>
    </w:p>
    <w:p w:rsidR="00757D2B" w:rsidRDefault="00757D2B" w:rsidP="00757D2B">
      <w:pPr>
        <w:pStyle w:val="Default"/>
        <w:numPr>
          <w:ilvl w:val="0"/>
          <w:numId w:val="1"/>
        </w:numPr>
        <w:rPr>
          <w:sz w:val="22"/>
          <w:szCs w:val="22"/>
        </w:rPr>
      </w:pPr>
      <w:r>
        <w:rPr>
          <w:sz w:val="22"/>
          <w:szCs w:val="22"/>
        </w:rPr>
        <w:t xml:space="preserve">Access forms, documents and various departmental applications </w:t>
      </w:r>
    </w:p>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0422AD"/>
    <w:p w:rsidR="00757D2B" w:rsidRDefault="00757D2B" w:rsidP="00757D2B">
      <w:pPr>
        <w:pStyle w:val="Default"/>
        <w:jc w:val="center"/>
        <w:rPr>
          <w:b/>
          <w:bCs/>
          <w:i/>
          <w:iCs/>
          <w:sz w:val="28"/>
          <w:szCs w:val="28"/>
        </w:rPr>
      </w:pPr>
      <w:r>
        <w:rPr>
          <w:b/>
          <w:bCs/>
          <w:i/>
          <w:iCs/>
          <w:sz w:val="28"/>
          <w:szCs w:val="28"/>
        </w:rPr>
        <w:t>Community Preservation Act (CPA) Exemptions</w:t>
      </w:r>
    </w:p>
    <w:p w:rsidR="00757D2B" w:rsidRDefault="00757D2B" w:rsidP="00757D2B">
      <w:pPr>
        <w:pStyle w:val="Default"/>
        <w:jc w:val="center"/>
        <w:rPr>
          <w:sz w:val="28"/>
          <w:szCs w:val="28"/>
        </w:rPr>
      </w:pPr>
    </w:p>
    <w:p w:rsidR="00757D2B" w:rsidRDefault="00757D2B" w:rsidP="00757D2B">
      <w:pPr>
        <w:pStyle w:val="Default"/>
        <w:rPr>
          <w:sz w:val="22"/>
          <w:szCs w:val="22"/>
        </w:rPr>
      </w:pPr>
      <w:r>
        <w:rPr>
          <w:sz w:val="22"/>
          <w:szCs w:val="22"/>
        </w:rPr>
        <w:t xml:space="preserve">An application for exemption from the CPA Surcharge based on your income must be filed annually with the Town Assessor. </w:t>
      </w:r>
    </w:p>
    <w:p w:rsidR="00757D2B" w:rsidRDefault="00757D2B" w:rsidP="00757D2B">
      <w:pPr>
        <w:pStyle w:val="Default"/>
        <w:rPr>
          <w:sz w:val="22"/>
          <w:szCs w:val="22"/>
        </w:rPr>
      </w:pPr>
    </w:p>
    <w:p w:rsidR="00757D2B" w:rsidRDefault="00757D2B" w:rsidP="00757D2B">
      <w:r>
        <w:t xml:space="preserve">Determination of exemption from the CPA surcharge is based solely on your annual household income; assets are not considered. </w:t>
      </w:r>
    </w:p>
    <w:p w:rsidR="00757D2B" w:rsidRDefault="00757D2B" w:rsidP="00757D2B"/>
    <w:p w:rsidR="00757D2B" w:rsidRDefault="00757D2B" w:rsidP="00757D2B">
      <w:r>
        <w:t>All information provided will be kept confidential.</w:t>
      </w:r>
    </w:p>
    <w:p w:rsidR="00757D2B" w:rsidRDefault="00757D2B" w:rsidP="00757D2B"/>
    <w:p w:rsidR="00757D2B" w:rsidRDefault="00757D2B" w:rsidP="00757D2B"/>
    <w:p w:rsidR="00757D2B" w:rsidRDefault="00757D2B" w:rsidP="00757D2B"/>
    <w:p w:rsidR="00757D2B" w:rsidRDefault="00757D2B" w:rsidP="00757D2B"/>
    <w:p w:rsidR="00757D2B" w:rsidRDefault="00757D2B" w:rsidP="00757D2B"/>
    <w:p w:rsidR="00757D2B" w:rsidRDefault="00757D2B" w:rsidP="00757D2B"/>
    <w:p w:rsidR="00757D2B" w:rsidRDefault="00757D2B" w:rsidP="00757D2B"/>
    <w:p w:rsidR="00757D2B" w:rsidRDefault="00757D2B" w:rsidP="00757D2B"/>
    <w:p w:rsidR="00757D2B" w:rsidRDefault="00757D2B" w:rsidP="00757D2B"/>
    <w:p w:rsidR="00757D2B" w:rsidRDefault="00757D2B" w:rsidP="00757D2B"/>
    <w:p w:rsidR="00757D2B" w:rsidRDefault="00757D2B" w:rsidP="00757D2B"/>
    <w:p w:rsidR="00757D2B" w:rsidRDefault="00757D2B" w:rsidP="00757D2B"/>
    <w:p w:rsidR="00757D2B" w:rsidRDefault="00757D2B" w:rsidP="00757D2B"/>
    <w:p w:rsidR="00757D2B" w:rsidRDefault="00757D2B" w:rsidP="00757D2B"/>
    <w:p w:rsidR="00757D2B" w:rsidRDefault="00757D2B" w:rsidP="00757D2B"/>
    <w:p w:rsidR="00757D2B" w:rsidRDefault="00757D2B" w:rsidP="00757D2B"/>
    <w:p w:rsidR="00757D2B" w:rsidRDefault="00757D2B" w:rsidP="00757D2B">
      <w:pPr>
        <w:pStyle w:val="Default"/>
        <w:jc w:val="center"/>
        <w:rPr>
          <w:b/>
          <w:bCs/>
          <w:sz w:val="28"/>
          <w:szCs w:val="28"/>
        </w:rPr>
      </w:pPr>
      <w:r>
        <w:rPr>
          <w:noProof/>
        </w:rPr>
        <w:lastRenderedPageBreak/>
        <w:drawing>
          <wp:inline distT="0" distB="0" distL="0" distR="0" wp14:anchorId="59896021" wp14:editId="6DD23210">
            <wp:extent cx="1247775" cy="127377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247775" cy="1273770"/>
                    </a:xfrm>
                    <a:prstGeom prst="rect">
                      <a:avLst/>
                    </a:prstGeom>
                  </pic:spPr>
                </pic:pic>
              </a:graphicData>
            </a:graphic>
          </wp:inline>
        </w:drawing>
      </w:r>
    </w:p>
    <w:p w:rsidR="00757D2B" w:rsidRDefault="00757D2B" w:rsidP="00757D2B">
      <w:pPr>
        <w:pStyle w:val="Default"/>
        <w:jc w:val="center"/>
        <w:rPr>
          <w:sz w:val="28"/>
          <w:szCs w:val="28"/>
        </w:rPr>
      </w:pPr>
      <w:r>
        <w:rPr>
          <w:b/>
          <w:bCs/>
          <w:sz w:val="28"/>
          <w:szCs w:val="28"/>
        </w:rPr>
        <w:t>TOWN OF BOXBOROUGH</w:t>
      </w:r>
    </w:p>
    <w:p w:rsidR="00757D2B" w:rsidRDefault="00757D2B" w:rsidP="00757D2B">
      <w:pPr>
        <w:pStyle w:val="Default"/>
        <w:jc w:val="center"/>
        <w:rPr>
          <w:sz w:val="28"/>
          <w:szCs w:val="28"/>
        </w:rPr>
      </w:pPr>
      <w:r>
        <w:rPr>
          <w:b/>
          <w:bCs/>
          <w:sz w:val="28"/>
          <w:szCs w:val="28"/>
        </w:rPr>
        <w:t>TOWN ASSESSOR</w:t>
      </w:r>
    </w:p>
    <w:p w:rsidR="00757D2B" w:rsidRDefault="00757D2B" w:rsidP="00757D2B">
      <w:pPr>
        <w:pStyle w:val="Default"/>
        <w:jc w:val="center"/>
        <w:rPr>
          <w:sz w:val="28"/>
          <w:szCs w:val="28"/>
        </w:rPr>
      </w:pPr>
      <w:r>
        <w:rPr>
          <w:b/>
          <w:bCs/>
          <w:sz w:val="28"/>
          <w:szCs w:val="28"/>
        </w:rPr>
        <w:t>Taxpayer Information Guide</w:t>
      </w:r>
    </w:p>
    <w:p w:rsidR="00757D2B" w:rsidRDefault="00757D2B" w:rsidP="00757D2B">
      <w:pPr>
        <w:pStyle w:val="Default"/>
        <w:rPr>
          <w:b/>
          <w:bCs/>
          <w:sz w:val="20"/>
          <w:szCs w:val="20"/>
        </w:rPr>
      </w:pPr>
    </w:p>
    <w:p w:rsidR="00757D2B" w:rsidRPr="00757D2B" w:rsidRDefault="00757D2B" w:rsidP="00757D2B">
      <w:pPr>
        <w:pStyle w:val="Default"/>
        <w:jc w:val="center"/>
        <w:rPr>
          <w:b/>
          <w:bCs/>
          <w:sz w:val="28"/>
          <w:szCs w:val="20"/>
        </w:rPr>
      </w:pPr>
      <w:r w:rsidRPr="00757D2B">
        <w:rPr>
          <w:b/>
          <w:bCs/>
          <w:sz w:val="28"/>
          <w:szCs w:val="20"/>
        </w:rPr>
        <w:t>Fiscal Year 2015 Community Preservation Act</w:t>
      </w:r>
    </w:p>
    <w:p w:rsidR="00757D2B" w:rsidRDefault="00757D2B" w:rsidP="00757D2B">
      <w:pPr>
        <w:pStyle w:val="Default"/>
        <w:rPr>
          <w:b/>
          <w:bCs/>
          <w:sz w:val="20"/>
          <w:szCs w:val="20"/>
        </w:rPr>
      </w:pPr>
    </w:p>
    <w:p w:rsidR="00757D2B" w:rsidRDefault="00757D2B" w:rsidP="00757D2B">
      <w:pPr>
        <w:pStyle w:val="Default"/>
        <w:rPr>
          <w:b/>
          <w:bCs/>
          <w:sz w:val="20"/>
          <w:szCs w:val="20"/>
        </w:rPr>
      </w:pPr>
      <w:r>
        <w:rPr>
          <w:b/>
          <w:bCs/>
          <w:sz w:val="20"/>
          <w:szCs w:val="20"/>
        </w:rPr>
        <w:t xml:space="preserve">The Community Preservation Act (CPA) was adopted by Boxborough voters at Annual Town Meeting on May 20, 2014, and by ballot vote on November 4, 2014. </w:t>
      </w:r>
    </w:p>
    <w:p w:rsidR="00757D2B" w:rsidRDefault="00757D2B" w:rsidP="00757D2B">
      <w:pPr>
        <w:pStyle w:val="Default"/>
        <w:rPr>
          <w:sz w:val="20"/>
          <w:szCs w:val="20"/>
        </w:rPr>
      </w:pPr>
    </w:p>
    <w:p w:rsidR="00757D2B" w:rsidRDefault="00757D2B" w:rsidP="00757D2B">
      <w:pPr>
        <w:pStyle w:val="Default"/>
        <w:rPr>
          <w:sz w:val="20"/>
          <w:szCs w:val="20"/>
        </w:rPr>
      </w:pPr>
      <w:r>
        <w:rPr>
          <w:sz w:val="20"/>
          <w:szCs w:val="20"/>
        </w:rPr>
        <w:t xml:space="preserve">The Act establishes a Community Preservation Fund financed by property tax surcharges and matching revenues from the Commonwealth of Massachusetts. The Act provides new funding sources which can be used to address core community concerns: </w:t>
      </w:r>
    </w:p>
    <w:p w:rsidR="00757D2B" w:rsidRDefault="00757D2B" w:rsidP="00757D2B">
      <w:pPr>
        <w:pStyle w:val="Default"/>
        <w:rPr>
          <w:sz w:val="20"/>
          <w:szCs w:val="20"/>
        </w:rPr>
      </w:pPr>
    </w:p>
    <w:p w:rsidR="00757D2B" w:rsidRDefault="00757D2B" w:rsidP="00757D2B">
      <w:pPr>
        <w:pStyle w:val="Default"/>
        <w:numPr>
          <w:ilvl w:val="0"/>
          <w:numId w:val="1"/>
        </w:numPr>
        <w:spacing w:after="61"/>
        <w:rPr>
          <w:sz w:val="20"/>
          <w:szCs w:val="20"/>
        </w:rPr>
      </w:pPr>
      <w:r>
        <w:rPr>
          <w:sz w:val="20"/>
          <w:szCs w:val="20"/>
        </w:rPr>
        <w:t xml:space="preserve">Restore and preserve historic properties </w:t>
      </w:r>
    </w:p>
    <w:p w:rsidR="00757D2B" w:rsidRDefault="00757D2B" w:rsidP="00757D2B">
      <w:pPr>
        <w:pStyle w:val="Default"/>
        <w:numPr>
          <w:ilvl w:val="0"/>
          <w:numId w:val="1"/>
        </w:numPr>
        <w:spacing w:after="61"/>
        <w:rPr>
          <w:sz w:val="20"/>
          <w:szCs w:val="20"/>
        </w:rPr>
      </w:pPr>
      <w:r>
        <w:rPr>
          <w:sz w:val="20"/>
          <w:szCs w:val="20"/>
        </w:rPr>
        <w:t xml:space="preserve">Help meet local families’ housing needs </w:t>
      </w:r>
    </w:p>
    <w:p w:rsidR="00757D2B" w:rsidRDefault="00757D2B" w:rsidP="00757D2B">
      <w:pPr>
        <w:pStyle w:val="Default"/>
        <w:numPr>
          <w:ilvl w:val="0"/>
          <w:numId w:val="1"/>
        </w:numPr>
        <w:spacing w:after="61"/>
        <w:rPr>
          <w:sz w:val="20"/>
          <w:szCs w:val="20"/>
        </w:rPr>
      </w:pPr>
      <w:r>
        <w:rPr>
          <w:sz w:val="20"/>
          <w:szCs w:val="20"/>
        </w:rPr>
        <w:t xml:space="preserve">Acquire and preserve open space for recreation and conservation </w:t>
      </w:r>
    </w:p>
    <w:p w:rsidR="00757D2B" w:rsidRDefault="00757D2B" w:rsidP="00757D2B">
      <w:pPr>
        <w:pStyle w:val="Default"/>
        <w:numPr>
          <w:ilvl w:val="0"/>
          <w:numId w:val="1"/>
        </w:numPr>
        <w:spacing w:after="61"/>
        <w:rPr>
          <w:sz w:val="20"/>
          <w:szCs w:val="20"/>
        </w:rPr>
      </w:pPr>
      <w:r>
        <w:rPr>
          <w:sz w:val="20"/>
          <w:szCs w:val="20"/>
        </w:rPr>
        <w:t xml:space="preserve">Protect scenic areas </w:t>
      </w:r>
    </w:p>
    <w:p w:rsidR="00757D2B" w:rsidRDefault="00757D2B" w:rsidP="00757D2B">
      <w:pPr>
        <w:pStyle w:val="Default"/>
        <w:numPr>
          <w:ilvl w:val="0"/>
          <w:numId w:val="1"/>
        </w:numPr>
        <w:rPr>
          <w:sz w:val="20"/>
          <w:szCs w:val="20"/>
        </w:rPr>
      </w:pPr>
      <w:r>
        <w:rPr>
          <w:sz w:val="20"/>
          <w:szCs w:val="20"/>
        </w:rPr>
        <w:t xml:space="preserve">Protect farm land and forests from future development </w:t>
      </w:r>
    </w:p>
    <w:p w:rsidR="00757D2B" w:rsidRDefault="00757D2B" w:rsidP="00757D2B">
      <w:pPr>
        <w:pStyle w:val="Default"/>
        <w:rPr>
          <w:sz w:val="20"/>
          <w:szCs w:val="20"/>
        </w:rPr>
      </w:pPr>
    </w:p>
    <w:p w:rsidR="00757D2B" w:rsidRDefault="00757D2B" w:rsidP="00757D2B">
      <w:r>
        <w:rPr>
          <w:sz w:val="20"/>
          <w:szCs w:val="20"/>
        </w:rPr>
        <w:t>CPA gives the community the opportunity to determine its priorities, plan for its future, and have funds to make those plans happen. A Community Preservation Committee composed of local citizens will make recommendations on the use of the funds.</w:t>
      </w:r>
    </w:p>
    <w:sectPr w:rsidR="00757D2B" w:rsidSect="000422AD">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5A69"/>
    <w:multiLevelType w:val="hybridMultilevel"/>
    <w:tmpl w:val="615C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26E9B"/>
    <w:multiLevelType w:val="hybridMultilevel"/>
    <w:tmpl w:val="0DD6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31E49"/>
    <w:multiLevelType w:val="hybridMultilevel"/>
    <w:tmpl w:val="FD4E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5112A"/>
    <w:multiLevelType w:val="hybridMultilevel"/>
    <w:tmpl w:val="4A9C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2AD"/>
    <w:rsid w:val="000422AD"/>
    <w:rsid w:val="00757D2B"/>
    <w:rsid w:val="00A86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2A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22AD"/>
    <w:pPr>
      <w:ind w:left="720"/>
      <w:contextualSpacing/>
    </w:pPr>
  </w:style>
  <w:style w:type="character" w:styleId="Hyperlink">
    <w:name w:val="Hyperlink"/>
    <w:basedOn w:val="DefaultParagraphFont"/>
    <w:uiPriority w:val="99"/>
    <w:unhideWhenUsed/>
    <w:rsid w:val="00757D2B"/>
    <w:rPr>
      <w:color w:val="0000FF" w:themeColor="hyperlink"/>
      <w:u w:val="single"/>
    </w:rPr>
  </w:style>
  <w:style w:type="paragraph" w:styleId="BalloonText">
    <w:name w:val="Balloon Text"/>
    <w:basedOn w:val="Normal"/>
    <w:link w:val="BalloonTextChar"/>
    <w:uiPriority w:val="99"/>
    <w:semiHidden/>
    <w:unhideWhenUsed/>
    <w:rsid w:val="00757D2B"/>
    <w:rPr>
      <w:rFonts w:ascii="Tahoma" w:hAnsi="Tahoma" w:cs="Tahoma"/>
      <w:sz w:val="16"/>
      <w:szCs w:val="16"/>
    </w:rPr>
  </w:style>
  <w:style w:type="character" w:customStyle="1" w:styleId="BalloonTextChar">
    <w:name w:val="Balloon Text Char"/>
    <w:basedOn w:val="DefaultParagraphFont"/>
    <w:link w:val="BalloonText"/>
    <w:uiPriority w:val="99"/>
    <w:semiHidden/>
    <w:rsid w:val="00757D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22A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422AD"/>
    <w:pPr>
      <w:ind w:left="720"/>
      <w:contextualSpacing/>
    </w:pPr>
  </w:style>
  <w:style w:type="character" w:styleId="Hyperlink">
    <w:name w:val="Hyperlink"/>
    <w:basedOn w:val="DefaultParagraphFont"/>
    <w:uiPriority w:val="99"/>
    <w:unhideWhenUsed/>
    <w:rsid w:val="00757D2B"/>
    <w:rPr>
      <w:color w:val="0000FF" w:themeColor="hyperlink"/>
      <w:u w:val="single"/>
    </w:rPr>
  </w:style>
  <w:style w:type="paragraph" w:styleId="BalloonText">
    <w:name w:val="Balloon Text"/>
    <w:basedOn w:val="Normal"/>
    <w:link w:val="BalloonTextChar"/>
    <w:uiPriority w:val="99"/>
    <w:semiHidden/>
    <w:unhideWhenUsed/>
    <w:rsid w:val="00757D2B"/>
    <w:rPr>
      <w:rFonts w:ascii="Tahoma" w:hAnsi="Tahoma" w:cs="Tahoma"/>
      <w:sz w:val="16"/>
      <w:szCs w:val="16"/>
    </w:rPr>
  </w:style>
  <w:style w:type="character" w:customStyle="1" w:styleId="BalloonTextChar">
    <w:name w:val="Balloon Text Char"/>
    <w:basedOn w:val="DefaultParagraphFont"/>
    <w:link w:val="BalloonText"/>
    <w:uiPriority w:val="99"/>
    <w:semiHidden/>
    <w:rsid w:val="00757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xborough-m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Trust for Public Land</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Chase</dc:creator>
  <cp:lastModifiedBy>Chase</cp:lastModifiedBy>
  <cp:revision>1</cp:revision>
  <dcterms:created xsi:type="dcterms:W3CDTF">2016-11-10T19:12:00Z</dcterms:created>
  <dcterms:modified xsi:type="dcterms:W3CDTF">2016-11-10T19:26:00Z</dcterms:modified>
</cp:coreProperties>
</file>