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16" w:rsidRPr="009071C8" w:rsidRDefault="00746516" w:rsidP="009071C8">
      <w:pPr>
        <w:spacing w:after="0"/>
        <w:jc w:val="center"/>
        <w:rPr>
          <w:sz w:val="40"/>
          <w:szCs w:val="40"/>
        </w:rPr>
      </w:pPr>
      <w:r w:rsidRPr="009071C8">
        <w:rPr>
          <w:sz w:val="40"/>
          <w:szCs w:val="40"/>
        </w:rPr>
        <w:t>Community Preservation Act</w:t>
      </w:r>
    </w:p>
    <w:p w:rsidR="00746516" w:rsidRPr="009071C8" w:rsidRDefault="00746516" w:rsidP="009071C8">
      <w:pPr>
        <w:spacing w:after="0"/>
        <w:jc w:val="center"/>
        <w:rPr>
          <w:i/>
          <w:sz w:val="32"/>
          <w:szCs w:val="32"/>
        </w:rPr>
      </w:pPr>
      <w:r w:rsidRPr="009071C8">
        <w:rPr>
          <w:i/>
          <w:sz w:val="32"/>
          <w:szCs w:val="32"/>
        </w:rPr>
        <w:t>20 Years of Investment in Dartmouth</w:t>
      </w:r>
    </w:p>
    <w:p w:rsidR="009071C8" w:rsidRDefault="009071C8" w:rsidP="00746516">
      <w:pPr>
        <w:rPr>
          <w:sz w:val="20"/>
          <w:szCs w:val="20"/>
        </w:rPr>
      </w:pPr>
    </w:p>
    <w:p w:rsidR="00746516" w:rsidRPr="00D92A70" w:rsidRDefault="00746516" w:rsidP="00746516">
      <w:pPr>
        <w:rPr>
          <w:sz w:val="20"/>
          <w:szCs w:val="20"/>
        </w:rPr>
      </w:pPr>
      <w:r w:rsidRPr="00D92A70">
        <w:rPr>
          <w:sz w:val="20"/>
          <w:szCs w:val="20"/>
        </w:rPr>
        <w:t>The Community Preservation Act</w:t>
      </w:r>
      <w:r w:rsidR="009071C8">
        <w:rPr>
          <w:sz w:val="20"/>
          <w:szCs w:val="20"/>
        </w:rPr>
        <w:t xml:space="preserve"> (“CPA) </w:t>
      </w:r>
      <w:r w:rsidRPr="00D92A70">
        <w:rPr>
          <w:sz w:val="20"/>
          <w:szCs w:val="20"/>
        </w:rPr>
        <w:t>was enacted on September 14, 2000.  It enables communities to create a preservation fund through a local property tax surcharge not to exceed 3%.  Communities that adopt the CPA are eligible to receive an additiona</w:t>
      </w:r>
      <w:r w:rsidR="00A30FAC">
        <w:rPr>
          <w:sz w:val="20"/>
          <w:szCs w:val="20"/>
        </w:rPr>
        <w:t>l annual contribution from the S</w:t>
      </w:r>
      <w:r w:rsidRPr="00D92A70">
        <w:rPr>
          <w:sz w:val="20"/>
          <w:szCs w:val="20"/>
        </w:rPr>
        <w:t>tate</w:t>
      </w:r>
      <w:r w:rsidR="00704DF3">
        <w:rPr>
          <w:sz w:val="20"/>
          <w:szCs w:val="20"/>
        </w:rPr>
        <w:t>.</w:t>
      </w:r>
      <w:r w:rsidRPr="00D92A70">
        <w:rPr>
          <w:sz w:val="20"/>
          <w:szCs w:val="20"/>
        </w:rPr>
        <w:t xml:space="preserve">  CPA funds can be used for historic preservation, open space preservation [including agriculture preservation and recreation], and affordable housing.  Dartmouth adopted the Community Preservation Act in April, 2002 with a 1.5% property tax surcharge.</w:t>
      </w:r>
      <w:r w:rsidR="00DB47D1">
        <w:rPr>
          <w:sz w:val="20"/>
          <w:szCs w:val="20"/>
        </w:rPr>
        <w:t xml:space="preserve">  </w:t>
      </w:r>
    </w:p>
    <w:p w:rsidR="00746516" w:rsidRPr="00D92A70" w:rsidRDefault="009071C8" w:rsidP="00746516">
      <w:pPr>
        <w:rPr>
          <w:sz w:val="20"/>
          <w:szCs w:val="20"/>
        </w:rPr>
      </w:pPr>
      <w:r>
        <w:rPr>
          <w:sz w:val="20"/>
          <w:szCs w:val="20"/>
        </w:rPr>
        <w:t>The Dartmouth</w:t>
      </w:r>
      <w:r w:rsidR="00746516" w:rsidRPr="00D92A70">
        <w:rPr>
          <w:sz w:val="20"/>
          <w:szCs w:val="20"/>
        </w:rPr>
        <w:t xml:space="preserve"> C</w:t>
      </w:r>
      <w:r w:rsidR="00DB47D1">
        <w:rPr>
          <w:sz w:val="20"/>
          <w:szCs w:val="20"/>
        </w:rPr>
        <w:t>ommunity Preservation Committee</w:t>
      </w:r>
      <w:r w:rsidR="00E77B49">
        <w:rPr>
          <w:sz w:val="20"/>
          <w:szCs w:val="20"/>
        </w:rPr>
        <w:t xml:space="preserve"> </w:t>
      </w:r>
      <w:r>
        <w:rPr>
          <w:sz w:val="20"/>
          <w:szCs w:val="20"/>
        </w:rPr>
        <w:t>(“CPC”) is</w:t>
      </w:r>
      <w:r w:rsidR="00746516" w:rsidRPr="00D92A70">
        <w:rPr>
          <w:sz w:val="20"/>
          <w:szCs w:val="20"/>
        </w:rPr>
        <w:t xml:space="preserve"> responsible for recommending CPA funding commitments to Town Meeting for approval.  </w:t>
      </w:r>
      <w:r>
        <w:rPr>
          <w:sz w:val="20"/>
          <w:szCs w:val="20"/>
        </w:rPr>
        <w:t xml:space="preserve">The </w:t>
      </w:r>
      <w:r w:rsidR="00746516" w:rsidRPr="00D92A70">
        <w:rPr>
          <w:sz w:val="20"/>
          <w:szCs w:val="20"/>
        </w:rPr>
        <w:t xml:space="preserve">CPC membership consists of 4 At-Large members and representatives from </w:t>
      </w:r>
      <w:r w:rsidR="00704DF3">
        <w:rPr>
          <w:sz w:val="20"/>
          <w:szCs w:val="20"/>
        </w:rPr>
        <w:t xml:space="preserve">the </w:t>
      </w:r>
      <w:r w:rsidR="00746516" w:rsidRPr="00D92A70">
        <w:rPr>
          <w:sz w:val="20"/>
          <w:szCs w:val="20"/>
        </w:rPr>
        <w:t>Planning Board, Conservation Commission, Parks and Recreation Commission, Housing Authority, and Historical Commission.</w:t>
      </w:r>
    </w:p>
    <w:p w:rsidR="00746516" w:rsidRPr="00D92A70" w:rsidRDefault="00D92A70" w:rsidP="00746516">
      <w:pPr>
        <w:rPr>
          <w:sz w:val="20"/>
          <w:szCs w:val="20"/>
        </w:rPr>
      </w:pPr>
      <w:r w:rsidRPr="00D92A70">
        <w:rPr>
          <w:sz w:val="20"/>
          <w:szCs w:val="20"/>
        </w:rPr>
        <w:t xml:space="preserve">Since its adoption, the CPA has brought significant investment and benefits to the Dartmouth community.  There is much to celebrate and appreciate from the first twenty years as the projects supported by the CPA represent the work and support of Dartmouth residents and organizations.  There are </w:t>
      </w:r>
      <w:r w:rsidR="00480B83">
        <w:rPr>
          <w:sz w:val="20"/>
          <w:szCs w:val="20"/>
        </w:rPr>
        <w:t xml:space="preserve">also </w:t>
      </w:r>
      <w:r w:rsidRPr="00D92A70">
        <w:rPr>
          <w:sz w:val="20"/>
          <w:szCs w:val="20"/>
        </w:rPr>
        <w:t xml:space="preserve">challenges ahead, the most important of which is to increase investment in affordable housing and historic preservation so that overall CPA investment is more balanced across the three eligible uses.  </w:t>
      </w:r>
    </w:p>
    <w:p w:rsidR="00746516" w:rsidRDefault="00746516" w:rsidP="004E590E">
      <w:pPr>
        <w:jc w:val="center"/>
        <w:rPr>
          <w:b/>
          <w:sz w:val="28"/>
          <w:szCs w:val="28"/>
        </w:rPr>
      </w:pPr>
      <w:r w:rsidRPr="00E747BD">
        <w:rPr>
          <w:b/>
          <w:sz w:val="28"/>
          <w:szCs w:val="28"/>
        </w:rPr>
        <w:t>Investment in Our Community</w:t>
      </w:r>
      <w:r w:rsidR="00644985" w:rsidRPr="00E747BD">
        <w:rPr>
          <w:b/>
          <w:sz w:val="28"/>
          <w:szCs w:val="28"/>
        </w:rPr>
        <w:t xml:space="preserve"> 2002-2022</w:t>
      </w:r>
    </w:p>
    <w:p w:rsidR="00A30FAC" w:rsidRPr="00C128F5" w:rsidRDefault="00C128F5" w:rsidP="00C128F5">
      <w:pPr>
        <w:ind w:firstLine="720"/>
      </w:pPr>
      <w:r>
        <w:t xml:space="preserve">2023 Average single family residence surcharge $55.96        </w:t>
      </w:r>
      <w:r>
        <w:tab/>
        <w:t>Average annual State match   $240,329</w:t>
      </w:r>
    </w:p>
    <w:p w:rsidR="00644985" w:rsidRPr="00874E6F" w:rsidRDefault="00644985" w:rsidP="00746516">
      <w:pPr>
        <w:rPr>
          <w:b/>
        </w:rPr>
      </w:pPr>
      <w:r w:rsidRPr="00874E6F">
        <w:rPr>
          <w:b/>
        </w:rPr>
        <w:t xml:space="preserve">Contributions to the Dartmouth </w:t>
      </w:r>
      <w:r w:rsidRPr="00874E6F">
        <w:rPr>
          <w:b/>
          <w:sz w:val="24"/>
          <w:szCs w:val="24"/>
        </w:rPr>
        <w:t>Community</w:t>
      </w:r>
      <w:r w:rsidRPr="00874E6F">
        <w:rPr>
          <w:b/>
        </w:rPr>
        <w:t xml:space="preserve"> Preservation Fund</w:t>
      </w:r>
    </w:p>
    <w:p w:rsidR="001B3F19" w:rsidRDefault="00BA13AE">
      <w:r>
        <w:rPr>
          <w:noProof/>
          <w:lang w:eastAsia="zh-TW"/>
        </w:rPr>
        <w:pict>
          <v:shapetype id="_x0000_t202" coordsize="21600,21600" o:spt="202" path="m,l,21600r21600,l21600,xe">
            <v:stroke joinstyle="miter"/>
            <v:path gradientshapeok="t" o:connecttype="rect"/>
          </v:shapetype>
          <v:shape id="_x0000_s1026" type="#_x0000_t202" style="position:absolute;margin-left:303.75pt;margin-top:140.05pt;width:145.5pt;height:16.65pt;z-index:251660288;mso-width-relative:margin;mso-height-relative:margin" stroked="f">
            <v:textbox>
              <w:txbxContent>
                <w:p w:rsidR="007A4FAC" w:rsidRPr="00E41025" w:rsidRDefault="00E41025" w:rsidP="00E41025">
                  <w:pPr>
                    <w:jc w:val="center"/>
                    <w:rPr>
                      <w:sz w:val="16"/>
                      <w:szCs w:val="16"/>
                    </w:rPr>
                  </w:pPr>
                  <w:r w:rsidRPr="00E41025">
                    <w:rPr>
                      <w:sz w:val="16"/>
                      <w:szCs w:val="16"/>
                    </w:rPr>
                    <w:t>Russells Mills</w:t>
                  </w:r>
                  <w:r w:rsidR="00D74C73">
                    <w:rPr>
                      <w:sz w:val="16"/>
                      <w:szCs w:val="16"/>
                    </w:rPr>
                    <w:t xml:space="preserve"> Schoolhouse-</w:t>
                  </w:r>
                  <w:r w:rsidRPr="00E41025">
                    <w:rPr>
                      <w:sz w:val="16"/>
                      <w:szCs w:val="16"/>
                    </w:rPr>
                    <w:t xml:space="preserve"> Library</w:t>
                  </w:r>
                </w:p>
              </w:txbxContent>
            </v:textbox>
          </v:shape>
        </w:pict>
      </w:r>
      <w:r w:rsidR="00644985" w:rsidRPr="00644985">
        <w:rPr>
          <w:noProof/>
        </w:rPr>
        <w:drawing>
          <wp:inline distT="0" distB="0" distL="0" distR="0">
            <wp:extent cx="3857625" cy="17240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00E747BD">
        <w:rPr>
          <w:noProof/>
        </w:rPr>
        <w:drawing>
          <wp:inline distT="0" distB="0" distL="0" distR="0">
            <wp:extent cx="1844524" cy="1743075"/>
            <wp:effectExtent l="19050" t="0" r="3326" b="0"/>
            <wp:docPr id="21" name="Picture 9" descr="t1200-Russells Mills Schoolhou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200-Russells Mills Schoolhouse 2.jpg"/>
                    <pic:cNvPicPr/>
                  </pic:nvPicPr>
                  <pic:blipFill>
                    <a:blip r:embed="rId5" cstate="print"/>
                    <a:stretch>
                      <a:fillRect/>
                    </a:stretch>
                  </pic:blipFill>
                  <pic:spPr>
                    <a:xfrm>
                      <a:off x="0" y="0"/>
                      <a:ext cx="1847949" cy="1746311"/>
                    </a:xfrm>
                    <a:prstGeom prst="rect">
                      <a:avLst/>
                    </a:prstGeom>
                  </pic:spPr>
                </pic:pic>
              </a:graphicData>
            </a:graphic>
          </wp:inline>
        </w:drawing>
      </w:r>
    </w:p>
    <w:p w:rsidR="00644985" w:rsidRDefault="00644985"/>
    <w:p w:rsidR="00644985" w:rsidRPr="00874E6F" w:rsidRDefault="00BA13AE" w:rsidP="00E747BD">
      <w:pPr>
        <w:ind w:left="4320" w:firstLine="720"/>
        <w:rPr>
          <w:b/>
        </w:rPr>
      </w:pPr>
      <w:r w:rsidRPr="00BA13AE">
        <w:rPr>
          <w:noProof/>
        </w:rPr>
        <w:pict>
          <v:shape id="_x0000_s1027" type="#_x0000_t202" style="position:absolute;left:0;text-align:left;margin-left:35.25pt;margin-top:136.35pt;width:135.75pt;height:16.65pt;z-index:251661312;mso-width-relative:margin;mso-height-relative:margin" stroked="f">
            <v:textbox>
              <w:txbxContent>
                <w:p w:rsidR="00E41025" w:rsidRPr="00E41025" w:rsidRDefault="00E41025" w:rsidP="00E41025">
                  <w:pPr>
                    <w:jc w:val="center"/>
                    <w:rPr>
                      <w:sz w:val="16"/>
                      <w:szCs w:val="16"/>
                    </w:rPr>
                  </w:pPr>
                  <w:r>
                    <w:rPr>
                      <w:sz w:val="16"/>
                      <w:szCs w:val="16"/>
                    </w:rPr>
                    <w:t>O’Connor-Sisson Veterans Housing</w:t>
                  </w:r>
                </w:p>
              </w:txbxContent>
            </v:textbox>
          </v:shape>
        </w:pict>
      </w:r>
      <w:r w:rsidR="00252091">
        <w:rPr>
          <w:b/>
          <w:noProof/>
        </w:rPr>
        <w:drawing>
          <wp:anchor distT="0" distB="0" distL="114300" distR="114300" simplePos="0" relativeHeight="251658240" behindDoc="1" locked="0" layoutInCell="1" allowOverlap="1">
            <wp:simplePos x="0" y="0"/>
            <wp:positionH relativeFrom="column">
              <wp:posOffset>142875</wp:posOffset>
            </wp:positionH>
            <wp:positionV relativeFrom="paragraph">
              <wp:posOffset>464820</wp:posOffset>
            </wp:positionV>
            <wp:extent cx="2181225" cy="1228725"/>
            <wp:effectExtent l="19050" t="0" r="9525" b="0"/>
            <wp:wrapNone/>
            <wp:docPr id="26" name="Picture 24" descr="veterans housi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housing.jfif"/>
                    <pic:cNvPicPr/>
                  </pic:nvPicPr>
                  <pic:blipFill>
                    <a:blip r:embed="rId6" cstate="print"/>
                    <a:stretch>
                      <a:fillRect/>
                    </a:stretch>
                  </pic:blipFill>
                  <pic:spPr>
                    <a:xfrm>
                      <a:off x="0" y="0"/>
                      <a:ext cx="2181225" cy="1228725"/>
                    </a:xfrm>
                    <a:prstGeom prst="rect">
                      <a:avLst/>
                    </a:prstGeom>
                  </pic:spPr>
                </pic:pic>
              </a:graphicData>
            </a:graphic>
          </wp:anchor>
        </w:drawing>
      </w:r>
      <w:r w:rsidR="009071C8">
        <w:rPr>
          <w:b/>
        </w:rPr>
        <w:t xml:space="preserve">Dartmouth </w:t>
      </w:r>
      <w:r w:rsidR="004C3950" w:rsidRPr="00874E6F">
        <w:rPr>
          <w:b/>
        </w:rPr>
        <w:t>Community Preservation Gra</w:t>
      </w:r>
      <w:r w:rsidR="00E747BD">
        <w:rPr>
          <w:b/>
        </w:rPr>
        <w:t>nts</w:t>
      </w:r>
      <w:r w:rsidR="00E747BD" w:rsidRPr="00644985">
        <w:rPr>
          <w:noProof/>
        </w:rPr>
        <w:drawing>
          <wp:inline distT="0" distB="0" distL="0" distR="0">
            <wp:extent cx="3657600" cy="1790700"/>
            <wp:effectExtent l="0" t="0" r="0" b="0"/>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3950" w:rsidRDefault="004C3950"/>
    <w:p w:rsidR="009071C8" w:rsidRDefault="009071C8"/>
    <w:p w:rsidR="004C3950" w:rsidRPr="00874E6F" w:rsidRDefault="00B028CF" w:rsidP="00E747BD">
      <w:pPr>
        <w:rPr>
          <w:b/>
        </w:rPr>
      </w:pPr>
      <w:r w:rsidRPr="00874E6F">
        <w:rPr>
          <w:b/>
        </w:rPr>
        <w:t xml:space="preserve">Total Investment in CPA Funded </w:t>
      </w:r>
      <w:r w:rsidRPr="00874E6F">
        <w:rPr>
          <w:b/>
          <w:sz w:val="24"/>
          <w:szCs w:val="24"/>
        </w:rPr>
        <w:t>Projects</w:t>
      </w:r>
    </w:p>
    <w:p w:rsidR="004C3950" w:rsidRDefault="00BA13AE">
      <w:r>
        <w:rPr>
          <w:noProof/>
        </w:rPr>
        <w:pict>
          <v:shape id="_x0000_s1028" type="#_x0000_t202" style="position:absolute;margin-left:339pt;margin-top:181.7pt;width:135.75pt;height:16.65pt;z-index:251662336;mso-width-relative:margin;mso-height-relative:margin" stroked="f">
            <v:textbox>
              <w:txbxContent>
                <w:p w:rsidR="00E41025" w:rsidRPr="00E41025" w:rsidRDefault="00E41025" w:rsidP="00E41025">
                  <w:pPr>
                    <w:jc w:val="center"/>
                    <w:rPr>
                      <w:sz w:val="16"/>
                      <w:szCs w:val="16"/>
                    </w:rPr>
                  </w:pPr>
                  <w:r>
                    <w:rPr>
                      <w:sz w:val="16"/>
                      <w:szCs w:val="16"/>
                    </w:rPr>
                    <w:t>Dartmouth Community Park</w:t>
                  </w:r>
                </w:p>
              </w:txbxContent>
            </v:textbox>
          </v:shape>
        </w:pict>
      </w:r>
      <w:r w:rsidR="004C3950" w:rsidRPr="004C3950">
        <w:rPr>
          <w:noProof/>
        </w:rPr>
        <w:drawing>
          <wp:inline distT="0" distB="0" distL="0" distR="0">
            <wp:extent cx="3676650" cy="22764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747BD">
        <w:rPr>
          <w:noProof/>
        </w:rPr>
        <w:drawing>
          <wp:inline distT="0" distB="0" distL="0" distR="0">
            <wp:extent cx="3124200" cy="2085975"/>
            <wp:effectExtent l="19050" t="0" r="0" b="0"/>
            <wp:docPr id="14" name="Picture 7" descr="dartmouth community par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tmouth community park.jpeg"/>
                    <pic:cNvPicPr/>
                  </pic:nvPicPr>
                  <pic:blipFill>
                    <a:blip r:embed="rId9" cstate="print">
                      <a:lum bright="16000"/>
                    </a:blip>
                    <a:stretch>
                      <a:fillRect/>
                    </a:stretch>
                  </pic:blipFill>
                  <pic:spPr>
                    <a:xfrm>
                      <a:off x="0" y="0"/>
                      <a:ext cx="3128847" cy="2089078"/>
                    </a:xfrm>
                    <a:prstGeom prst="rect">
                      <a:avLst/>
                    </a:prstGeom>
                  </pic:spPr>
                </pic:pic>
              </a:graphicData>
            </a:graphic>
          </wp:inline>
        </w:drawing>
      </w:r>
    </w:p>
    <w:p w:rsidR="00B028CF" w:rsidRDefault="00B028CF"/>
    <w:p w:rsidR="00B028CF" w:rsidRPr="00E747BD" w:rsidRDefault="006545B6" w:rsidP="004E590E">
      <w:pPr>
        <w:jc w:val="center"/>
        <w:rPr>
          <w:b/>
          <w:sz w:val="28"/>
          <w:szCs w:val="28"/>
        </w:rPr>
      </w:pPr>
      <w:r w:rsidRPr="00E747BD">
        <w:rPr>
          <w:b/>
          <w:sz w:val="28"/>
          <w:szCs w:val="28"/>
        </w:rPr>
        <w:t>Benefits to Our Community</w:t>
      </w:r>
      <w:r w:rsidR="00B028CF" w:rsidRPr="00E747BD">
        <w:rPr>
          <w:b/>
          <w:sz w:val="28"/>
          <w:szCs w:val="28"/>
        </w:rPr>
        <w:t xml:space="preserve"> </w:t>
      </w:r>
      <w:r w:rsidRPr="00E747BD">
        <w:rPr>
          <w:b/>
          <w:sz w:val="28"/>
          <w:szCs w:val="28"/>
        </w:rPr>
        <w:t>2002-2022</w:t>
      </w:r>
    </w:p>
    <w:p w:rsidR="00B028CF" w:rsidRDefault="00823B39" w:rsidP="004F1B14">
      <w:pPr>
        <w:jc w:val="center"/>
      </w:pPr>
      <w:r>
        <w:t>87 project a</w:t>
      </w:r>
      <w:r w:rsidR="00B028CF">
        <w:t>wards</w:t>
      </w:r>
      <w:r w:rsidR="004E590E">
        <w:t xml:space="preserve"> </w:t>
      </w:r>
      <w:r w:rsidR="004E590E">
        <w:tab/>
        <w:t>85% of awards completed</w:t>
      </w:r>
      <w:r w:rsidR="004E590E">
        <w:tab/>
        <w:t>91% of committed funds expended</w:t>
      </w:r>
    </w:p>
    <w:p w:rsidR="00B028CF" w:rsidRDefault="00BA13AE">
      <w:r>
        <w:rPr>
          <w:noProof/>
        </w:rPr>
        <w:pict>
          <v:shape id="_x0000_s1030" type="#_x0000_t202" style="position:absolute;margin-left:295.5pt;margin-top:236.9pt;width:135.75pt;height:16.65pt;z-index:251664384;mso-width-relative:margin;mso-height-relative:margin" stroked="f">
            <v:textbox>
              <w:txbxContent>
                <w:p w:rsidR="00E41025" w:rsidRPr="00E41025" w:rsidRDefault="00E41025" w:rsidP="00E41025">
                  <w:pPr>
                    <w:jc w:val="center"/>
                    <w:rPr>
                      <w:sz w:val="16"/>
                      <w:szCs w:val="16"/>
                    </w:rPr>
                  </w:pPr>
                  <w:r>
                    <w:rPr>
                      <w:sz w:val="16"/>
                      <w:szCs w:val="16"/>
                    </w:rPr>
                    <w:t>Copicut Farm</w:t>
                  </w:r>
                </w:p>
              </w:txbxContent>
            </v:textbox>
          </v:shape>
        </w:pict>
      </w:r>
      <w:r w:rsidR="00B028CF" w:rsidRPr="00B028CF">
        <w:rPr>
          <w:noProof/>
        </w:rPr>
        <w:drawing>
          <wp:inline distT="0" distB="0" distL="0" distR="0">
            <wp:extent cx="3581400" cy="2181225"/>
            <wp:effectExtent l="1905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E48E2">
        <w:rPr>
          <w:noProof/>
        </w:rPr>
        <w:drawing>
          <wp:inline distT="0" distB="0" distL="0" distR="0">
            <wp:extent cx="2219325" cy="2958279"/>
            <wp:effectExtent l="19050" t="0" r="9525" b="0"/>
            <wp:docPr id="7" name="Picture 0" descr="copicut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cut 2.jfif"/>
                    <pic:cNvPicPr/>
                  </pic:nvPicPr>
                  <pic:blipFill>
                    <a:blip r:embed="rId11" cstate="print"/>
                    <a:stretch>
                      <a:fillRect/>
                    </a:stretch>
                  </pic:blipFill>
                  <pic:spPr>
                    <a:xfrm>
                      <a:off x="0" y="0"/>
                      <a:ext cx="2219251" cy="2958180"/>
                    </a:xfrm>
                    <a:prstGeom prst="rect">
                      <a:avLst/>
                    </a:prstGeom>
                  </pic:spPr>
                </pic:pic>
              </a:graphicData>
            </a:graphic>
          </wp:inline>
        </w:drawing>
      </w:r>
    </w:p>
    <w:tbl>
      <w:tblPr>
        <w:tblpPr w:leftFromText="180" w:rightFromText="180" w:vertAnchor="text" w:horzAnchor="page" w:tblpX="6013" w:tblpY="1049"/>
        <w:tblW w:w="3795" w:type="dxa"/>
        <w:tblLook w:val="04A0"/>
      </w:tblPr>
      <w:tblGrid>
        <w:gridCol w:w="3245"/>
        <w:gridCol w:w="550"/>
      </w:tblGrid>
      <w:tr w:rsidR="00E747BD" w:rsidRPr="006545B6" w:rsidTr="007A4FAC">
        <w:trPr>
          <w:trHeight w:val="255"/>
        </w:trPr>
        <w:tc>
          <w:tcPr>
            <w:tcW w:w="3245" w:type="dxa"/>
            <w:shd w:val="clear" w:color="auto" w:fill="auto"/>
            <w:noWrap/>
            <w:vAlign w:val="bottom"/>
            <w:hideMark/>
          </w:tcPr>
          <w:p w:rsidR="00E747BD" w:rsidRPr="006545B6" w:rsidRDefault="00E747BD" w:rsidP="00E747BD">
            <w:pPr>
              <w:spacing w:after="0" w:line="240" w:lineRule="auto"/>
              <w:rPr>
                <w:rFonts w:ascii="Arial" w:eastAsia="Times New Roman" w:hAnsi="Arial" w:cs="Arial"/>
                <w:sz w:val="20"/>
                <w:szCs w:val="20"/>
              </w:rPr>
            </w:pPr>
            <w:r w:rsidRPr="006545B6">
              <w:rPr>
                <w:rFonts w:ascii="Arial" w:eastAsia="Times New Roman" w:hAnsi="Arial" w:cs="Arial"/>
                <w:sz w:val="20"/>
                <w:szCs w:val="20"/>
              </w:rPr>
              <w:t>Acres of Land Preserved</w:t>
            </w:r>
          </w:p>
        </w:tc>
        <w:tc>
          <w:tcPr>
            <w:tcW w:w="550" w:type="dxa"/>
            <w:shd w:val="clear" w:color="auto" w:fill="auto"/>
            <w:noWrap/>
            <w:vAlign w:val="bottom"/>
            <w:hideMark/>
          </w:tcPr>
          <w:p w:rsidR="00E747BD" w:rsidRPr="006545B6" w:rsidRDefault="00E747BD" w:rsidP="00E747BD">
            <w:pPr>
              <w:spacing w:after="0" w:line="240" w:lineRule="auto"/>
              <w:jc w:val="right"/>
              <w:rPr>
                <w:rFonts w:ascii="Arial" w:eastAsia="Times New Roman" w:hAnsi="Arial" w:cs="Arial"/>
                <w:b/>
                <w:sz w:val="20"/>
                <w:szCs w:val="20"/>
              </w:rPr>
            </w:pPr>
            <w:r w:rsidRPr="006545B6">
              <w:rPr>
                <w:rFonts w:ascii="Arial" w:eastAsia="Times New Roman" w:hAnsi="Arial" w:cs="Arial"/>
                <w:b/>
                <w:sz w:val="20"/>
                <w:szCs w:val="20"/>
              </w:rPr>
              <w:t>724</w:t>
            </w:r>
          </w:p>
        </w:tc>
      </w:tr>
      <w:tr w:rsidR="00E747BD" w:rsidRPr="006545B6" w:rsidTr="007A4FAC">
        <w:trPr>
          <w:trHeight w:val="255"/>
        </w:trPr>
        <w:tc>
          <w:tcPr>
            <w:tcW w:w="3245" w:type="dxa"/>
            <w:shd w:val="clear" w:color="auto" w:fill="auto"/>
            <w:noWrap/>
            <w:vAlign w:val="bottom"/>
            <w:hideMark/>
          </w:tcPr>
          <w:p w:rsidR="00E747BD" w:rsidRPr="006545B6" w:rsidRDefault="00E747BD" w:rsidP="00E747BD">
            <w:pPr>
              <w:spacing w:after="0" w:line="240" w:lineRule="auto"/>
              <w:rPr>
                <w:rFonts w:ascii="Arial" w:eastAsia="Times New Roman" w:hAnsi="Arial" w:cs="Arial"/>
                <w:sz w:val="20"/>
                <w:szCs w:val="20"/>
              </w:rPr>
            </w:pPr>
            <w:r w:rsidRPr="006545B6">
              <w:rPr>
                <w:rFonts w:ascii="Arial" w:eastAsia="Times New Roman" w:hAnsi="Arial" w:cs="Arial"/>
                <w:sz w:val="20"/>
                <w:szCs w:val="20"/>
              </w:rPr>
              <w:t>Acres of Agriculture Preserved</w:t>
            </w:r>
          </w:p>
        </w:tc>
        <w:tc>
          <w:tcPr>
            <w:tcW w:w="550" w:type="dxa"/>
            <w:shd w:val="clear" w:color="auto" w:fill="auto"/>
            <w:noWrap/>
            <w:vAlign w:val="bottom"/>
            <w:hideMark/>
          </w:tcPr>
          <w:p w:rsidR="00E747BD" w:rsidRPr="006545B6" w:rsidRDefault="00E747BD" w:rsidP="00E747BD">
            <w:pPr>
              <w:spacing w:after="0" w:line="240" w:lineRule="auto"/>
              <w:jc w:val="right"/>
              <w:rPr>
                <w:rFonts w:ascii="Arial" w:eastAsia="Times New Roman" w:hAnsi="Arial" w:cs="Arial"/>
                <w:b/>
                <w:sz w:val="20"/>
                <w:szCs w:val="20"/>
              </w:rPr>
            </w:pPr>
            <w:r w:rsidRPr="006545B6">
              <w:rPr>
                <w:rFonts w:ascii="Arial" w:eastAsia="Times New Roman" w:hAnsi="Arial" w:cs="Arial"/>
                <w:b/>
                <w:sz w:val="20"/>
                <w:szCs w:val="20"/>
              </w:rPr>
              <w:t>236</w:t>
            </w:r>
          </w:p>
        </w:tc>
      </w:tr>
      <w:tr w:rsidR="00E747BD" w:rsidRPr="006545B6" w:rsidTr="007A4FAC">
        <w:trPr>
          <w:trHeight w:val="255"/>
        </w:trPr>
        <w:tc>
          <w:tcPr>
            <w:tcW w:w="3245" w:type="dxa"/>
            <w:shd w:val="clear" w:color="auto" w:fill="auto"/>
            <w:noWrap/>
            <w:vAlign w:val="bottom"/>
            <w:hideMark/>
          </w:tcPr>
          <w:p w:rsidR="00E747BD" w:rsidRPr="006545B6" w:rsidRDefault="00E747BD" w:rsidP="00E747BD">
            <w:pPr>
              <w:spacing w:after="0" w:line="240" w:lineRule="auto"/>
              <w:rPr>
                <w:rFonts w:ascii="Arial" w:eastAsia="Times New Roman" w:hAnsi="Arial" w:cs="Arial"/>
                <w:sz w:val="20"/>
                <w:szCs w:val="20"/>
              </w:rPr>
            </w:pPr>
            <w:r w:rsidRPr="006545B6">
              <w:rPr>
                <w:rFonts w:ascii="Arial" w:eastAsia="Times New Roman" w:hAnsi="Arial" w:cs="Arial"/>
                <w:sz w:val="20"/>
                <w:szCs w:val="20"/>
              </w:rPr>
              <w:t>Affordable Housing Units</w:t>
            </w:r>
          </w:p>
        </w:tc>
        <w:tc>
          <w:tcPr>
            <w:tcW w:w="550" w:type="dxa"/>
            <w:shd w:val="clear" w:color="auto" w:fill="auto"/>
            <w:noWrap/>
            <w:vAlign w:val="bottom"/>
            <w:hideMark/>
          </w:tcPr>
          <w:p w:rsidR="00E747BD" w:rsidRPr="006545B6" w:rsidRDefault="00E747BD" w:rsidP="00E747BD">
            <w:pPr>
              <w:spacing w:after="0" w:line="240" w:lineRule="auto"/>
              <w:jc w:val="right"/>
              <w:rPr>
                <w:rFonts w:ascii="Arial" w:eastAsia="Times New Roman" w:hAnsi="Arial" w:cs="Arial"/>
                <w:b/>
                <w:sz w:val="20"/>
                <w:szCs w:val="20"/>
              </w:rPr>
            </w:pPr>
            <w:r w:rsidRPr="006545B6">
              <w:rPr>
                <w:rFonts w:ascii="Arial" w:eastAsia="Times New Roman" w:hAnsi="Arial" w:cs="Arial"/>
                <w:b/>
                <w:sz w:val="20"/>
                <w:szCs w:val="20"/>
              </w:rPr>
              <w:t>11</w:t>
            </w:r>
          </w:p>
        </w:tc>
      </w:tr>
      <w:tr w:rsidR="00E747BD" w:rsidRPr="006545B6" w:rsidTr="007A4FAC">
        <w:trPr>
          <w:trHeight w:val="255"/>
        </w:trPr>
        <w:tc>
          <w:tcPr>
            <w:tcW w:w="3245" w:type="dxa"/>
            <w:shd w:val="clear" w:color="auto" w:fill="auto"/>
            <w:noWrap/>
            <w:vAlign w:val="bottom"/>
            <w:hideMark/>
          </w:tcPr>
          <w:p w:rsidR="00E747BD" w:rsidRPr="006545B6" w:rsidRDefault="00E747BD" w:rsidP="00E747BD">
            <w:pPr>
              <w:spacing w:after="0" w:line="240" w:lineRule="auto"/>
              <w:rPr>
                <w:rFonts w:ascii="Arial" w:eastAsia="Times New Roman" w:hAnsi="Arial" w:cs="Arial"/>
                <w:sz w:val="20"/>
                <w:szCs w:val="20"/>
              </w:rPr>
            </w:pPr>
            <w:r w:rsidRPr="006545B6">
              <w:rPr>
                <w:rFonts w:ascii="Arial" w:eastAsia="Times New Roman" w:hAnsi="Arial" w:cs="Arial"/>
                <w:sz w:val="20"/>
                <w:szCs w:val="20"/>
              </w:rPr>
              <w:t>Historic Buildings/Sites Preserved</w:t>
            </w:r>
          </w:p>
        </w:tc>
        <w:tc>
          <w:tcPr>
            <w:tcW w:w="550" w:type="dxa"/>
            <w:shd w:val="clear" w:color="auto" w:fill="auto"/>
            <w:noWrap/>
            <w:vAlign w:val="bottom"/>
            <w:hideMark/>
          </w:tcPr>
          <w:p w:rsidR="00E747BD" w:rsidRPr="006545B6" w:rsidRDefault="00E747BD" w:rsidP="00E747BD">
            <w:pPr>
              <w:spacing w:after="0" w:line="240" w:lineRule="auto"/>
              <w:jc w:val="right"/>
              <w:rPr>
                <w:rFonts w:ascii="Arial" w:eastAsia="Times New Roman" w:hAnsi="Arial" w:cs="Arial"/>
                <w:b/>
                <w:sz w:val="20"/>
                <w:szCs w:val="20"/>
              </w:rPr>
            </w:pPr>
            <w:r w:rsidRPr="006545B6">
              <w:rPr>
                <w:rFonts w:ascii="Arial" w:eastAsia="Times New Roman" w:hAnsi="Arial" w:cs="Arial"/>
                <w:b/>
                <w:sz w:val="20"/>
                <w:szCs w:val="20"/>
              </w:rPr>
              <w:t>11</w:t>
            </w:r>
          </w:p>
        </w:tc>
      </w:tr>
      <w:tr w:rsidR="00E747BD" w:rsidRPr="006545B6" w:rsidTr="007A4FAC">
        <w:trPr>
          <w:trHeight w:val="255"/>
        </w:trPr>
        <w:tc>
          <w:tcPr>
            <w:tcW w:w="3245" w:type="dxa"/>
            <w:shd w:val="clear" w:color="auto" w:fill="auto"/>
            <w:noWrap/>
            <w:vAlign w:val="bottom"/>
            <w:hideMark/>
          </w:tcPr>
          <w:p w:rsidR="00E747BD" w:rsidRPr="006545B6" w:rsidRDefault="00E747BD" w:rsidP="00E747BD">
            <w:pPr>
              <w:spacing w:after="0" w:line="240" w:lineRule="auto"/>
              <w:rPr>
                <w:rFonts w:ascii="Arial" w:eastAsia="Times New Roman" w:hAnsi="Arial" w:cs="Arial"/>
                <w:sz w:val="20"/>
                <w:szCs w:val="20"/>
              </w:rPr>
            </w:pPr>
            <w:r w:rsidRPr="006545B6">
              <w:rPr>
                <w:rFonts w:ascii="Arial" w:eastAsia="Times New Roman" w:hAnsi="Arial" w:cs="Arial"/>
                <w:sz w:val="20"/>
                <w:szCs w:val="20"/>
              </w:rPr>
              <w:t>Recreation Sites Created</w:t>
            </w:r>
          </w:p>
        </w:tc>
        <w:tc>
          <w:tcPr>
            <w:tcW w:w="550" w:type="dxa"/>
            <w:shd w:val="clear" w:color="auto" w:fill="auto"/>
            <w:noWrap/>
            <w:vAlign w:val="bottom"/>
            <w:hideMark/>
          </w:tcPr>
          <w:p w:rsidR="00E747BD" w:rsidRPr="006545B6" w:rsidRDefault="00E747BD" w:rsidP="00E747BD">
            <w:pPr>
              <w:spacing w:after="0" w:line="240" w:lineRule="auto"/>
              <w:jc w:val="right"/>
              <w:rPr>
                <w:rFonts w:ascii="Arial" w:eastAsia="Times New Roman" w:hAnsi="Arial" w:cs="Arial"/>
                <w:b/>
                <w:sz w:val="20"/>
                <w:szCs w:val="20"/>
              </w:rPr>
            </w:pPr>
            <w:r w:rsidRPr="006545B6">
              <w:rPr>
                <w:rFonts w:ascii="Arial" w:eastAsia="Times New Roman" w:hAnsi="Arial" w:cs="Arial"/>
                <w:b/>
                <w:sz w:val="20"/>
                <w:szCs w:val="20"/>
              </w:rPr>
              <w:t>4</w:t>
            </w:r>
          </w:p>
        </w:tc>
      </w:tr>
      <w:tr w:rsidR="00E747BD" w:rsidRPr="006545B6" w:rsidTr="007A4FAC">
        <w:trPr>
          <w:trHeight w:val="255"/>
        </w:trPr>
        <w:tc>
          <w:tcPr>
            <w:tcW w:w="3245" w:type="dxa"/>
            <w:shd w:val="clear" w:color="auto" w:fill="auto"/>
            <w:noWrap/>
            <w:vAlign w:val="bottom"/>
            <w:hideMark/>
          </w:tcPr>
          <w:p w:rsidR="00E747BD" w:rsidRPr="006545B6" w:rsidRDefault="00E747BD" w:rsidP="00E747BD">
            <w:pPr>
              <w:spacing w:after="0" w:line="240" w:lineRule="auto"/>
              <w:rPr>
                <w:rFonts w:ascii="Arial" w:eastAsia="Times New Roman" w:hAnsi="Arial" w:cs="Arial"/>
                <w:sz w:val="20"/>
                <w:szCs w:val="20"/>
              </w:rPr>
            </w:pPr>
            <w:r w:rsidRPr="006545B6">
              <w:rPr>
                <w:rFonts w:ascii="Arial" w:eastAsia="Times New Roman" w:hAnsi="Arial" w:cs="Arial"/>
                <w:sz w:val="20"/>
                <w:szCs w:val="20"/>
              </w:rPr>
              <w:t>Recreation Sites Improved</w:t>
            </w:r>
          </w:p>
        </w:tc>
        <w:tc>
          <w:tcPr>
            <w:tcW w:w="550" w:type="dxa"/>
            <w:shd w:val="clear" w:color="auto" w:fill="auto"/>
            <w:noWrap/>
            <w:vAlign w:val="bottom"/>
            <w:hideMark/>
          </w:tcPr>
          <w:p w:rsidR="00E747BD" w:rsidRPr="006545B6" w:rsidRDefault="00E747BD" w:rsidP="00E747BD">
            <w:pPr>
              <w:spacing w:after="0" w:line="240" w:lineRule="auto"/>
              <w:jc w:val="right"/>
              <w:rPr>
                <w:rFonts w:ascii="Arial" w:eastAsia="Times New Roman" w:hAnsi="Arial" w:cs="Arial"/>
                <w:b/>
                <w:sz w:val="20"/>
                <w:szCs w:val="20"/>
              </w:rPr>
            </w:pPr>
            <w:r w:rsidRPr="006545B6">
              <w:rPr>
                <w:rFonts w:ascii="Arial" w:eastAsia="Times New Roman" w:hAnsi="Arial" w:cs="Arial"/>
                <w:b/>
                <w:sz w:val="20"/>
                <w:szCs w:val="20"/>
              </w:rPr>
              <w:t>7</w:t>
            </w:r>
          </w:p>
        </w:tc>
      </w:tr>
    </w:tbl>
    <w:p w:rsidR="00E747BD" w:rsidRDefault="00BA13AE">
      <w:r>
        <w:rPr>
          <w:noProof/>
        </w:rPr>
        <w:pict>
          <v:shape id="_x0000_s1029" type="#_x0000_t202" style="position:absolute;margin-left:39pt;margin-top:134.9pt;width:135.75pt;height:16.65pt;z-index:251663360;mso-position-horizontal-relative:text;mso-position-vertical-relative:text;mso-width-relative:margin;mso-height-relative:margin" stroked="f">
            <v:textbox>
              <w:txbxContent>
                <w:p w:rsidR="00E41025" w:rsidRPr="00E41025" w:rsidRDefault="00E41025" w:rsidP="00E41025">
                  <w:pPr>
                    <w:jc w:val="center"/>
                    <w:rPr>
                      <w:sz w:val="16"/>
                      <w:szCs w:val="16"/>
                    </w:rPr>
                  </w:pPr>
                  <w:r>
                    <w:rPr>
                      <w:sz w:val="16"/>
                      <w:szCs w:val="16"/>
                    </w:rPr>
                    <w:t>Paradise Farm Conservation Area</w:t>
                  </w:r>
                </w:p>
              </w:txbxContent>
            </v:textbox>
          </v:shape>
        </w:pict>
      </w:r>
      <w:r w:rsidR="00E747BD">
        <w:rPr>
          <w:noProof/>
        </w:rPr>
        <w:drawing>
          <wp:inline distT="0" distB="0" distL="0" distR="0">
            <wp:extent cx="2966085" cy="1647825"/>
            <wp:effectExtent l="19050" t="0" r="5715" b="0"/>
            <wp:docPr id="18" name="Picture 8" descr="Paradise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iseFarm.jpg"/>
                    <pic:cNvPicPr/>
                  </pic:nvPicPr>
                  <pic:blipFill>
                    <a:blip r:embed="rId12" cstate="print"/>
                    <a:stretch>
                      <a:fillRect/>
                    </a:stretch>
                  </pic:blipFill>
                  <pic:spPr>
                    <a:xfrm>
                      <a:off x="0" y="0"/>
                      <a:ext cx="2966085" cy="1647825"/>
                    </a:xfrm>
                    <a:prstGeom prst="rect">
                      <a:avLst/>
                    </a:prstGeom>
                  </pic:spPr>
                </pic:pic>
              </a:graphicData>
            </a:graphic>
          </wp:inline>
        </w:drawing>
      </w:r>
    </w:p>
    <w:sectPr w:rsidR="00E747BD" w:rsidSect="007465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6516"/>
    <w:rsid w:val="000E7360"/>
    <w:rsid w:val="00185843"/>
    <w:rsid w:val="001B3F19"/>
    <w:rsid w:val="00252091"/>
    <w:rsid w:val="00480B83"/>
    <w:rsid w:val="004C3950"/>
    <w:rsid w:val="004E590E"/>
    <w:rsid w:val="004F1B14"/>
    <w:rsid w:val="00644985"/>
    <w:rsid w:val="00650E9A"/>
    <w:rsid w:val="006545B6"/>
    <w:rsid w:val="00680422"/>
    <w:rsid w:val="00704DF3"/>
    <w:rsid w:val="00746516"/>
    <w:rsid w:val="007A4FAC"/>
    <w:rsid w:val="007B672D"/>
    <w:rsid w:val="007D3330"/>
    <w:rsid w:val="007F709C"/>
    <w:rsid w:val="00823B39"/>
    <w:rsid w:val="00874E6F"/>
    <w:rsid w:val="008A669B"/>
    <w:rsid w:val="009071C8"/>
    <w:rsid w:val="00956B31"/>
    <w:rsid w:val="00984EC8"/>
    <w:rsid w:val="009B523A"/>
    <w:rsid w:val="00A30FAC"/>
    <w:rsid w:val="00AA7458"/>
    <w:rsid w:val="00B028CF"/>
    <w:rsid w:val="00B142DC"/>
    <w:rsid w:val="00BA13AE"/>
    <w:rsid w:val="00C128F5"/>
    <w:rsid w:val="00C534DA"/>
    <w:rsid w:val="00D45AEB"/>
    <w:rsid w:val="00D74C73"/>
    <w:rsid w:val="00D81215"/>
    <w:rsid w:val="00D92A70"/>
    <w:rsid w:val="00DB47D1"/>
    <w:rsid w:val="00E41025"/>
    <w:rsid w:val="00E747BD"/>
    <w:rsid w:val="00E77B49"/>
    <w:rsid w:val="00E82B47"/>
    <w:rsid w:val="00FB33FF"/>
    <w:rsid w:val="00FE4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24928">
      <w:bodyDiv w:val="1"/>
      <w:marLeft w:val="0"/>
      <w:marRight w:val="0"/>
      <w:marTop w:val="0"/>
      <w:marBottom w:val="0"/>
      <w:divBdr>
        <w:top w:val="none" w:sz="0" w:space="0" w:color="auto"/>
        <w:left w:val="none" w:sz="0" w:space="0" w:color="auto"/>
        <w:bottom w:val="none" w:sz="0" w:space="0" w:color="auto"/>
        <w:right w:val="none" w:sz="0" w:space="0" w:color="auto"/>
      </w:divBdr>
    </w:div>
    <w:div w:id="60256922">
      <w:bodyDiv w:val="1"/>
      <w:marLeft w:val="0"/>
      <w:marRight w:val="0"/>
      <w:marTop w:val="0"/>
      <w:marBottom w:val="0"/>
      <w:divBdr>
        <w:top w:val="none" w:sz="0" w:space="0" w:color="auto"/>
        <w:left w:val="none" w:sz="0" w:space="0" w:color="auto"/>
        <w:bottom w:val="none" w:sz="0" w:space="0" w:color="auto"/>
        <w:right w:val="none" w:sz="0" w:space="0" w:color="auto"/>
      </w:divBdr>
    </w:div>
    <w:div w:id="1150026368">
      <w:bodyDiv w:val="1"/>
      <w:marLeft w:val="0"/>
      <w:marRight w:val="0"/>
      <w:marTop w:val="0"/>
      <w:marBottom w:val="0"/>
      <w:divBdr>
        <w:top w:val="none" w:sz="0" w:space="0" w:color="auto"/>
        <w:left w:val="none" w:sz="0" w:space="0" w:color="auto"/>
        <w:bottom w:val="none" w:sz="0" w:space="0" w:color="auto"/>
        <w:right w:val="none" w:sz="0" w:space="0" w:color="auto"/>
      </w:divBdr>
    </w:div>
    <w:div w:id="1841193731">
      <w:bodyDiv w:val="1"/>
      <w:marLeft w:val="0"/>
      <w:marRight w:val="0"/>
      <w:marTop w:val="0"/>
      <w:marBottom w:val="0"/>
      <w:divBdr>
        <w:top w:val="none" w:sz="0" w:space="0" w:color="auto"/>
        <w:left w:val="none" w:sz="0" w:space="0" w:color="auto"/>
        <w:bottom w:val="none" w:sz="0" w:space="0" w:color="auto"/>
        <w:right w:val="none" w:sz="0" w:space="0" w:color="auto"/>
      </w:divBdr>
    </w:div>
    <w:div w:id="20548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chart" Target="charts/chart4.xml"/><Relationship Id="rId4" Type="http://schemas.openxmlformats.org/officeDocument/2006/relationships/chart" Target="charts/chart1.xml"/><Relationship Id="rId9" Type="http://schemas.openxmlformats.org/officeDocument/2006/relationships/image" Target="media/image3.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cuments\CPC\financial\grants\balance%20of%20grants%20curr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ocuments\CPC\financial\grants\balance%20of%20grants%20curren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ocuments\CPC\financial\grants\balance%20of%20grants%20curren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wner\Documents\CPC\financial\grants\balance%20of%20grants%20curr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spPr>
            <a:solidFill>
              <a:schemeClr val="accent3">
                <a:lumMod val="75000"/>
              </a:schemeClr>
            </a:solidFill>
          </c:spPr>
          <c:dLbls>
            <c:dLbl>
              <c:idx val="0"/>
              <c:layout>
                <c:manualLayout>
                  <c:x val="0"/>
                  <c:y val="-0.30092592592592687"/>
                </c:manualLayout>
              </c:layout>
              <c:showVal val="1"/>
            </c:dLbl>
            <c:dLbl>
              <c:idx val="1"/>
              <c:layout>
                <c:manualLayout>
                  <c:x val="0"/>
                  <c:y val="-0.14814814814814845"/>
                </c:manualLayout>
              </c:layout>
              <c:showVal val="1"/>
            </c:dLbl>
            <c:dLbl>
              <c:idx val="2"/>
              <c:layout>
                <c:manualLayout>
                  <c:x val="-5.5555555555555558E-3"/>
                  <c:y val="-0.41666666666666741"/>
                </c:manualLayout>
              </c:layout>
              <c:showVal val="1"/>
            </c:dLbl>
            <c:showVal val="1"/>
          </c:dLbls>
          <c:cat>
            <c:strRef>
              <c:f>Revenue!$F$6:$H$6</c:f>
              <c:strCache>
                <c:ptCount val="3"/>
                <c:pt idx="0">
                  <c:v>Local Tax Surcharge</c:v>
                </c:pt>
                <c:pt idx="1">
                  <c:v>State  Match</c:v>
                </c:pt>
                <c:pt idx="2">
                  <c:v>Total</c:v>
                </c:pt>
              </c:strCache>
            </c:strRef>
          </c:cat>
          <c:val>
            <c:numRef>
              <c:f>Revenue!$F$7:$H$7</c:f>
              <c:numCache>
                <c:formatCode>_("$"* #,##0_);_("$"* \(#,##0\);_("$"* "-"??_);_(@_)</c:formatCode>
                <c:ptCount val="3"/>
                <c:pt idx="0">
                  <c:v>11023548.590000002</c:v>
                </c:pt>
                <c:pt idx="1">
                  <c:v>4806581</c:v>
                </c:pt>
                <c:pt idx="2">
                  <c:v>15830129.590000002</c:v>
                </c:pt>
              </c:numCache>
            </c:numRef>
          </c:val>
        </c:ser>
        <c:gapWidth val="24"/>
        <c:overlap val="100"/>
        <c:axId val="116861568"/>
        <c:axId val="116988160"/>
      </c:barChart>
      <c:catAx>
        <c:axId val="116861568"/>
        <c:scaling>
          <c:orientation val="minMax"/>
        </c:scaling>
        <c:axPos val="b"/>
        <c:tickLblPos val="nextTo"/>
        <c:crossAx val="116988160"/>
        <c:crosses val="autoZero"/>
        <c:auto val="1"/>
        <c:lblAlgn val="ctr"/>
        <c:lblOffset val="100"/>
      </c:catAx>
      <c:valAx>
        <c:axId val="116988160"/>
        <c:scaling>
          <c:orientation val="minMax"/>
        </c:scaling>
        <c:delete val="1"/>
        <c:axPos val="l"/>
        <c:numFmt formatCode="_(&quot;$&quot;* #,##0_);_(&quot;$&quot;* \(#,##0\);_(&quot;$&quot;* &quot;-&quot;??_);_(@_)" sourceLinked="1"/>
        <c:majorTickMark val="none"/>
        <c:tickLblPos val="none"/>
        <c:crossAx val="116861568"/>
        <c:crosses val="autoZero"/>
        <c:crossBetween val="between"/>
      </c:valAx>
      <c:spPr>
        <a:noFill/>
      </c:spPr>
    </c:plotArea>
    <c:plotVisOnly val="1"/>
  </c:chart>
  <c:spPr>
    <a:ln w="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242798353909477E-2"/>
          <c:y val="0"/>
          <c:w val="0.9275720164609057"/>
          <c:h val="0.65775450940972913"/>
        </c:manualLayout>
      </c:layout>
      <c:barChart>
        <c:barDir val="col"/>
        <c:grouping val="clustered"/>
        <c:ser>
          <c:idx val="0"/>
          <c:order val="0"/>
          <c:spPr>
            <a:solidFill>
              <a:schemeClr val="accent3">
                <a:lumMod val="75000"/>
              </a:schemeClr>
            </a:solidFill>
          </c:spPr>
          <c:dLbls>
            <c:showVal val="1"/>
          </c:dLbls>
          <c:cat>
            <c:strRef>
              <c:f>'fund distribution'!$F$25:$F$28</c:f>
              <c:strCache>
                <c:ptCount val="4"/>
                <c:pt idx="0">
                  <c:v>Historic Preservation</c:v>
                </c:pt>
                <c:pt idx="1">
                  <c:v>Housing</c:v>
                </c:pt>
                <c:pt idx="2">
                  <c:v>Open Space</c:v>
                </c:pt>
                <c:pt idx="3">
                  <c:v>Total</c:v>
                </c:pt>
              </c:strCache>
            </c:strRef>
          </c:cat>
          <c:val>
            <c:numRef>
              <c:f>'fund distribution'!$G$25:$G$28</c:f>
              <c:numCache>
                <c:formatCode>_("$"* #,##0_);_("$"* \(#,##0\);_("$"* "-"??_);_(@_)</c:formatCode>
                <c:ptCount val="4"/>
                <c:pt idx="0">
                  <c:v>2590516.42</c:v>
                </c:pt>
                <c:pt idx="1">
                  <c:v>2386942.0499999998</c:v>
                </c:pt>
                <c:pt idx="2">
                  <c:v>9367770.5999999866</c:v>
                </c:pt>
                <c:pt idx="3">
                  <c:v>14345229.07</c:v>
                </c:pt>
              </c:numCache>
            </c:numRef>
          </c:val>
        </c:ser>
        <c:gapWidth val="23"/>
        <c:axId val="123437824"/>
        <c:axId val="124689408"/>
      </c:barChart>
      <c:catAx>
        <c:axId val="123437824"/>
        <c:scaling>
          <c:orientation val="minMax"/>
        </c:scaling>
        <c:axPos val="b"/>
        <c:tickLblPos val="nextTo"/>
        <c:crossAx val="124689408"/>
        <c:crosses val="autoZero"/>
        <c:auto val="1"/>
        <c:lblAlgn val="ctr"/>
        <c:lblOffset val="100"/>
      </c:catAx>
      <c:valAx>
        <c:axId val="124689408"/>
        <c:scaling>
          <c:orientation val="minMax"/>
        </c:scaling>
        <c:delete val="1"/>
        <c:axPos val="l"/>
        <c:numFmt formatCode="_(&quot;$&quot;* #,##0_);_(&quot;$&quot;* \(#,##0\);_(&quot;$&quot;* &quot;-&quot;??_);_(@_)" sourceLinked="1"/>
        <c:tickLblPos val="none"/>
        <c:crossAx val="123437824"/>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accent3">
                <a:lumMod val="75000"/>
              </a:schemeClr>
            </a:solidFill>
          </c:spPr>
          <c:dLbls>
            <c:showVal val="1"/>
          </c:dLbls>
          <c:cat>
            <c:strRef>
              <c:f>'fund distribution'!$Q$80:$Q$82</c:f>
              <c:strCache>
                <c:ptCount val="3"/>
                <c:pt idx="0">
                  <c:v>Community Preservation Fund</c:v>
                </c:pt>
                <c:pt idx="1">
                  <c:v>Private, State, Federal Funds</c:v>
                </c:pt>
                <c:pt idx="2">
                  <c:v>Total</c:v>
                </c:pt>
              </c:strCache>
            </c:strRef>
          </c:cat>
          <c:val>
            <c:numRef>
              <c:f>'fund distribution'!$R$80:$R$82</c:f>
              <c:numCache>
                <c:formatCode>_("$"* #,##0_);_("$"* \(#,##0\);_("$"* "-"??_);_(@_)</c:formatCode>
                <c:ptCount val="3"/>
                <c:pt idx="0">
                  <c:v>14345229.07</c:v>
                </c:pt>
                <c:pt idx="1">
                  <c:v>24278976</c:v>
                </c:pt>
                <c:pt idx="2">
                  <c:v>38624205.07</c:v>
                </c:pt>
              </c:numCache>
            </c:numRef>
          </c:val>
        </c:ser>
        <c:gapWidth val="23"/>
        <c:overlap val="-77"/>
        <c:axId val="128854656"/>
        <c:axId val="128905600"/>
      </c:barChart>
      <c:catAx>
        <c:axId val="128854656"/>
        <c:scaling>
          <c:orientation val="minMax"/>
        </c:scaling>
        <c:axPos val="b"/>
        <c:tickLblPos val="nextTo"/>
        <c:crossAx val="128905600"/>
        <c:crosses val="autoZero"/>
        <c:auto val="1"/>
        <c:lblAlgn val="ctr"/>
        <c:lblOffset val="100"/>
      </c:catAx>
      <c:valAx>
        <c:axId val="128905600"/>
        <c:scaling>
          <c:orientation val="minMax"/>
        </c:scaling>
        <c:delete val="1"/>
        <c:axPos val="l"/>
        <c:numFmt formatCode="_(&quot;$&quot;* #,##0_);_(&quot;$&quot;* \(#,##0\);_(&quot;$&quot;* &quot;-&quot;??_);_(@_)" sourceLinked="1"/>
        <c:tickLblPos val="none"/>
        <c:crossAx val="128854656"/>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perspective val="0"/>
    </c:view3D>
    <c:plotArea>
      <c:layout>
        <c:manualLayout>
          <c:layoutTarget val="inner"/>
          <c:xMode val="edge"/>
          <c:yMode val="edge"/>
          <c:x val="0.14102593530051269"/>
          <c:y val="0.30769230769230782"/>
          <c:w val="0.45726591142893475"/>
          <c:h val="0.3846153846153848"/>
        </c:manualLayout>
      </c:layout>
      <c:pie3DChart>
        <c:varyColors val="1"/>
        <c:ser>
          <c:idx val="0"/>
          <c:order val="0"/>
          <c:spPr>
            <a:solidFill>
              <a:srgbClr val="9999FF"/>
            </a:solidFill>
            <a:ln w="12700">
              <a:solidFill>
                <a:srgbClr val="000000"/>
              </a:solidFill>
              <a:prstDash val="solid"/>
            </a:ln>
          </c:spPr>
          <c:dPt>
            <c:idx val="0"/>
            <c:spPr>
              <a:solidFill>
                <a:srgbClr val="FFFFFF"/>
              </a:solidFill>
              <a:ln w="12700">
                <a:solidFill>
                  <a:srgbClr val="000000"/>
                </a:solidFill>
                <a:prstDash val="solid"/>
              </a:ln>
            </c:spPr>
          </c:dPt>
          <c:dPt>
            <c:idx val="1"/>
            <c:spPr>
              <a:solidFill>
                <a:schemeClr val="tx2">
                  <a:lumMod val="20000"/>
                  <a:lumOff val="80000"/>
                </a:schemeClr>
              </a:solidFill>
              <a:ln w="12700">
                <a:solidFill>
                  <a:srgbClr val="000000"/>
                </a:solidFill>
                <a:prstDash val="solid"/>
              </a:ln>
            </c:spPr>
          </c:dPt>
          <c:dPt>
            <c:idx val="2"/>
            <c:spPr>
              <a:solidFill>
                <a:srgbClr val="C0C0C0"/>
              </a:solidFill>
              <a:ln w="12700">
                <a:solidFill>
                  <a:srgbClr val="000000"/>
                </a:solidFill>
                <a:prstDash val="solid"/>
              </a:ln>
            </c:spPr>
          </c:dPt>
          <c:dLbls>
            <c:dLbl>
              <c:idx val="0"/>
              <c:layout>
                <c:manualLayout>
                  <c:x val="-4.6348634612162848E-2"/>
                  <c:y val="-7.1731251934119583E-2"/>
                </c:manualLayout>
              </c:layout>
              <c:showCatName val="1"/>
              <c:showPercent val="1"/>
            </c:dLbl>
            <c:dLbl>
              <c:idx val="1"/>
              <c:layout>
                <c:manualLayout>
                  <c:x val="-1.7624392695593904E-3"/>
                  <c:y val="-8.4251280816972127E-2"/>
                </c:manualLayout>
              </c:layout>
              <c:showCatName val="1"/>
              <c:showPercent val="1"/>
            </c:dLbl>
            <c:dLbl>
              <c:idx val="2"/>
              <c:layout>
                <c:manualLayout>
                  <c:x val="1.6182041909888287E-2"/>
                  <c:y val="-0.29232734797039306"/>
                </c:manualLayout>
              </c:layout>
              <c:showCatName val="1"/>
              <c:showPercent val="1"/>
            </c:dLbl>
            <c:numFmt formatCode="0%" sourceLinked="0"/>
            <c:spPr>
              <a:noFill/>
              <a:ln w="25400">
                <a:noFill/>
              </a:ln>
            </c:spPr>
            <c:txPr>
              <a:bodyPr/>
              <a:lstStyle/>
              <a:p>
                <a:pPr>
                  <a:defRPr sz="850" b="0" i="0" u="none" strike="noStrike" baseline="0">
                    <a:solidFill>
                      <a:srgbClr val="000000"/>
                    </a:solidFill>
                    <a:latin typeface="Arial"/>
                    <a:ea typeface="Arial"/>
                    <a:cs typeface="Arial"/>
                  </a:defRPr>
                </a:pPr>
                <a:endParaRPr lang="en-US"/>
              </a:p>
            </c:txPr>
            <c:showCatName val="1"/>
            <c:showPercent val="1"/>
            <c:showLeaderLines val="1"/>
          </c:dLbls>
          <c:cat>
            <c:strRef>
              <c:f>'fund distribution'!$F$25:$F$27</c:f>
              <c:strCache>
                <c:ptCount val="3"/>
                <c:pt idx="0">
                  <c:v>Historic Preservation</c:v>
                </c:pt>
                <c:pt idx="1">
                  <c:v>Housing</c:v>
                </c:pt>
                <c:pt idx="2">
                  <c:v>Open Space</c:v>
                </c:pt>
              </c:strCache>
            </c:strRef>
          </c:cat>
          <c:val>
            <c:numRef>
              <c:f>'fund distribution'!$G$25:$G$27</c:f>
              <c:numCache>
                <c:formatCode>_("$"* #,##0_);_("$"* \(#,##0\);_("$"* "-"??_);_(@_)</c:formatCode>
                <c:ptCount val="3"/>
                <c:pt idx="0">
                  <c:v>2590516.42</c:v>
                </c:pt>
                <c:pt idx="1">
                  <c:v>2386942.0499999998</c:v>
                </c:pt>
                <c:pt idx="2">
                  <c:v>9367770.5999999866</c:v>
                </c:pt>
              </c:numCache>
            </c:numRef>
          </c:val>
        </c:ser>
      </c:pie3DChart>
      <c:spPr>
        <a:noFill/>
        <a:ln w="25400">
          <a:noFill/>
        </a:ln>
      </c:spPr>
    </c:plotArea>
    <c:plotVisOnly val="1"/>
    <c:dispBlanksAs val="zero"/>
  </c:chart>
  <c:spPr>
    <a:solidFill>
      <a:srgbClr val="FFFFFF"/>
    </a:solidFill>
    <a:ln w="3175">
      <a:no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14</cp:revision>
  <cp:lastPrinted>2023-05-08T14:28:00Z</cp:lastPrinted>
  <dcterms:created xsi:type="dcterms:W3CDTF">2023-05-04T16:16:00Z</dcterms:created>
  <dcterms:modified xsi:type="dcterms:W3CDTF">2023-05-08T14:34:00Z</dcterms:modified>
</cp:coreProperties>
</file>